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76E59" w14:textId="155C13E6" w:rsidR="00CB0375" w:rsidRDefault="00CB0375" w:rsidP="00CB0375">
      <w:pPr>
        <w:spacing w:before="100" w:beforeAutospacing="1" w:after="100" w:afterAutospacing="1" w:line="240" w:lineRule="auto"/>
        <w:jc w:val="center"/>
        <w:outlineLvl w:val="1"/>
        <w:rPr>
          <w:rFonts w:ascii="Times" w:eastAsia="Times New Roman" w:hAnsi="Times"/>
          <w:b/>
          <w:bCs/>
          <w:sz w:val="36"/>
          <w:szCs w:val="36"/>
          <w:lang w:eastAsia="en-US"/>
        </w:rPr>
      </w:pPr>
      <w:r w:rsidRPr="00CB0375">
        <w:rPr>
          <w:rFonts w:ascii="Times" w:eastAsia="Times New Roman" w:hAnsi="Times"/>
          <w:b/>
          <w:bCs/>
          <w:sz w:val="36"/>
          <w:szCs w:val="36"/>
          <w:lang w:eastAsia="en-US"/>
        </w:rPr>
        <w:t>Vanessa Thomas</w:t>
      </w:r>
    </w:p>
    <w:p w14:paraId="5F3126EB" w14:textId="77777777" w:rsidR="005349DC" w:rsidRPr="00CB0375" w:rsidRDefault="00CB0375" w:rsidP="00CB0375">
      <w:pPr>
        <w:spacing w:before="100" w:beforeAutospacing="1" w:after="100" w:afterAutospacing="1" w:line="240" w:lineRule="auto"/>
        <w:jc w:val="center"/>
        <w:outlineLvl w:val="1"/>
        <w:rPr>
          <w:rFonts w:ascii="Times" w:eastAsia="Times New Roman" w:hAnsi="Times"/>
          <w:b/>
          <w:bCs/>
          <w:sz w:val="36"/>
          <w:szCs w:val="36"/>
          <w:lang w:eastAsia="en-US"/>
        </w:rPr>
      </w:pPr>
      <w:r w:rsidRPr="00CB0375">
        <w:rPr>
          <w:rFonts w:ascii="Times" w:eastAsia="Times New Roman" w:hAnsi="Times"/>
          <w:b/>
          <w:bCs/>
          <w:sz w:val="36"/>
          <w:szCs w:val="36"/>
          <w:lang w:eastAsia="en-US"/>
        </w:rPr>
        <w:t>CV</w:t>
      </w:r>
    </w:p>
    <w:p w14:paraId="14924D5D" w14:textId="7287A982" w:rsidR="00C866D8" w:rsidRDefault="00C866D8" w:rsidP="00CB0375">
      <w:pPr>
        <w:spacing w:before="100" w:beforeAutospacing="1" w:after="100" w:afterAutospacing="1" w:line="240" w:lineRule="auto"/>
        <w:outlineLvl w:val="1"/>
        <w:rPr>
          <w:rFonts w:ascii="Times" w:eastAsia="Times New Roman" w:hAnsi="Times"/>
          <w:b/>
          <w:bCs/>
          <w:sz w:val="36"/>
          <w:szCs w:val="36"/>
          <w:lang w:eastAsia="en-US"/>
        </w:rPr>
      </w:pPr>
      <w:r>
        <w:rPr>
          <w:rFonts w:ascii="Times" w:eastAsia="Times New Roman" w:hAnsi="Times"/>
          <w:b/>
          <w:bCs/>
          <w:sz w:val="36"/>
          <w:szCs w:val="36"/>
          <w:lang w:eastAsia="en-US"/>
        </w:rPr>
        <w:t>Chambers</w:t>
      </w:r>
    </w:p>
    <w:p w14:paraId="7298C7A3" w14:textId="1DA31F3E" w:rsidR="00C866D8" w:rsidRPr="00C866D8" w:rsidRDefault="00C866D8" w:rsidP="00C866D8">
      <w:pPr>
        <w:spacing w:before="120" w:after="120" w:line="240" w:lineRule="auto"/>
        <w:rPr>
          <w:rFonts w:ascii="Times" w:hAnsi="Times"/>
          <w:sz w:val="20"/>
          <w:lang w:eastAsia="en-US"/>
        </w:rPr>
      </w:pPr>
      <w:r w:rsidRPr="00C866D8">
        <w:rPr>
          <w:rFonts w:ascii="Times" w:hAnsi="Times"/>
          <w:sz w:val="20"/>
          <w:lang w:eastAsia="en-US"/>
        </w:rPr>
        <w:t>12th floor, Wentworth Chambers</w:t>
      </w:r>
    </w:p>
    <w:p w14:paraId="0935F45E" w14:textId="196AFA59" w:rsidR="00C866D8" w:rsidRPr="00C866D8" w:rsidRDefault="00C866D8" w:rsidP="00C866D8">
      <w:pPr>
        <w:spacing w:before="120" w:after="120" w:line="240" w:lineRule="auto"/>
        <w:rPr>
          <w:rFonts w:ascii="Times" w:hAnsi="Times"/>
          <w:sz w:val="20"/>
          <w:lang w:eastAsia="en-US"/>
        </w:rPr>
      </w:pPr>
      <w:r w:rsidRPr="00C866D8">
        <w:rPr>
          <w:rFonts w:ascii="Times" w:hAnsi="Times"/>
          <w:sz w:val="20"/>
          <w:lang w:eastAsia="en-US"/>
        </w:rPr>
        <w:t xml:space="preserve">180 Phillip st </w:t>
      </w:r>
    </w:p>
    <w:p w14:paraId="499542B2" w14:textId="5C0FECA6" w:rsidR="00C866D8" w:rsidRDefault="00C866D8" w:rsidP="00C866D8">
      <w:pPr>
        <w:spacing w:before="120" w:after="120" w:line="240" w:lineRule="auto"/>
        <w:rPr>
          <w:rFonts w:ascii="Times" w:hAnsi="Times"/>
          <w:sz w:val="20"/>
          <w:lang w:eastAsia="en-US"/>
        </w:rPr>
      </w:pPr>
      <w:r w:rsidRPr="00C866D8">
        <w:rPr>
          <w:rFonts w:ascii="Times" w:hAnsi="Times"/>
          <w:sz w:val="20"/>
          <w:lang w:eastAsia="en-US"/>
        </w:rPr>
        <w:t>Sydney NSW 2000</w:t>
      </w:r>
    </w:p>
    <w:p w14:paraId="70F9CEAF" w14:textId="77777777" w:rsidR="00C866D8" w:rsidRPr="00C866D8" w:rsidRDefault="00C866D8" w:rsidP="00C866D8">
      <w:pPr>
        <w:spacing w:before="120" w:after="120" w:line="240" w:lineRule="auto"/>
        <w:rPr>
          <w:rFonts w:ascii="Times" w:hAnsi="Times"/>
          <w:sz w:val="20"/>
          <w:lang w:eastAsia="en-US"/>
        </w:rPr>
      </w:pPr>
    </w:p>
    <w:p w14:paraId="33F62360" w14:textId="73B78724" w:rsidR="00C866D8" w:rsidRPr="00C866D8" w:rsidRDefault="00C866D8" w:rsidP="00C866D8">
      <w:pPr>
        <w:spacing w:before="120" w:after="120" w:line="240" w:lineRule="auto"/>
        <w:rPr>
          <w:rFonts w:ascii="Times" w:hAnsi="Times"/>
          <w:sz w:val="20"/>
          <w:lang w:eastAsia="en-US"/>
        </w:rPr>
      </w:pPr>
      <w:r w:rsidRPr="00C866D8">
        <w:rPr>
          <w:rFonts w:ascii="Times" w:hAnsi="Times"/>
          <w:sz w:val="20"/>
          <w:lang w:eastAsia="en-US"/>
        </w:rPr>
        <w:t>Burley Griffin Chambers</w:t>
      </w:r>
    </w:p>
    <w:p w14:paraId="3F4EA2E8" w14:textId="457B66D7" w:rsidR="00C866D8" w:rsidRPr="00C866D8" w:rsidRDefault="00C866D8" w:rsidP="00C866D8">
      <w:pPr>
        <w:spacing w:before="120" w:after="120" w:line="240" w:lineRule="auto"/>
        <w:rPr>
          <w:rFonts w:ascii="Times" w:hAnsi="Times"/>
          <w:sz w:val="20"/>
          <w:lang w:eastAsia="en-US"/>
        </w:rPr>
      </w:pPr>
      <w:r w:rsidRPr="00C866D8">
        <w:rPr>
          <w:rFonts w:ascii="Times" w:hAnsi="Times"/>
          <w:sz w:val="20"/>
          <w:lang w:eastAsia="en-US"/>
        </w:rPr>
        <w:t>5/1 Hobart Place</w:t>
      </w:r>
    </w:p>
    <w:p w14:paraId="6CC31E88" w14:textId="623DDCA8" w:rsidR="00C866D8" w:rsidRPr="00C866D8" w:rsidRDefault="00C866D8" w:rsidP="00C866D8">
      <w:pPr>
        <w:spacing w:before="120" w:after="120" w:line="240" w:lineRule="auto"/>
        <w:rPr>
          <w:rFonts w:ascii="Times" w:hAnsi="Times"/>
          <w:sz w:val="20"/>
          <w:lang w:eastAsia="en-US"/>
        </w:rPr>
      </w:pPr>
      <w:r w:rsidRPr="00C866D8">
        <w:rPr>
          <w:rFonts w:ascii="Times" w:hAnsi="Times"/>
          <w:sz w:val="20"/>
          <w:lang w:eastAsia="en-US"/>
        </w:rPr>
        <w:t>Canberra ACT 2601</w:t>
      </w:r>
    </w:p>
    <w:p w14:paraId="7BAEF65C" w14:textId="7F6303B6" w:rsidR="00CB0375" w:rsidRPr="00E712CA" w:rsidRDefault="00CB0375" w:rsidP="00CB0375">
      <w:pPr>
        <w:spacing w:before="100" w:beforeAutospacing="1" w:after="100" w:afterAutospacing="1" w:line="240" w:lineRule="auto"/>
        <w:outlineLvl w:val="1"/>
        <w:rPr>
          <w:rFonts w:ascii="Times" w:eastAsia="Times New Roman" w:hAnsi="Times"/>
          <w:b/>
          <w:bCs/>
          <w:sz w:val="36"/>
          <w:szCs w:val="36"/>
          <w:lang w:eastAsia="en-US"/>
        </w:rPr>
      </w:pPr>
      <w:r w:rsidRPr="00E712CA">
        <w:rPr>
          <w:rFonts w:ascii="Times" w:eastAsia="Times New Roman" w:hAnsi="Times"/>
          <w:b/>
          <w:bCs/>
          <w:sz w:val="36"/>
          <w:szCs w:val="36"/>
          <w:lang w:eastAsia="en-US"/>
        </w:rPr>
        <w:t>Admissions</w:t>
      </w:r>
    </w:p>
    <w:p w14:paraId="022E2455" w14:textId="77777777" w:rsidR="00CB0375" w:rsidRPr="00CB0375" w:rsidRDefault="00CB0375" w:rsidP="00CB0375">
      <w:pPr>
        <w:spacing w:before="100" w:beforeAutospacing="1" w:after="100" w:afterAutospacing="1" w:line="240" w:lineRule="auto"/>
        <w:rPr>
          <w:rFonts w:ascii="Times" w:hAnsi="Times"/>
          <w:sz w:val="20"/>
          <w:lang w:eastAsia="en-US"/>
        </w:rPr>
      </w:pPr>
      <w:r w:rsidRPr="00CB0375">
        <w:rPr>
          <w:rFonts w:ascii="Times" w:hAnsi="Times"/>
          <w:sz w:val="20"/>
          <w:lang w:eastAsia="en-US"/>
        </w:rPr>
        <w:t>Barrister:  May 2009</w:t>
      </w:r>
    </w:p>
    <w:p w14:paraId="3F347C90" w14:textId="77777777" w:rsidR="00CB0375" w:rsidRPr="00CB0375" w:rsidRDefault="00CB0375" w:rsidP="00CB0375">
      <w:pPr>
        <w:spacing w:before="100" w:beforeAutospacing="1" w:after="100" w:afterAutospacing="1" w:line="240" w:lineRule="auto"/>
        <w:rPr>
          <w:rFonts w:ascii="Times" w:hAnsi="Times"/>
          <w:sz w:val="20"/>
          <w:lang w:eastAsia="en-US"/>
        </w:rPr>
      </w:pPr>
      <w:r w:rsidRPr="00CB0375">
        <w:rPr>
          <w:rFonts w:ascii="Times" w:hAnsi="Times"/>
          <w:sz w:val="20"/>
          <w:lang w:eastAsia="en-US"/>
        </w:rPr>
        <w:t>Solicitor: 1988 (NSW) 1991 (England and Wales/Hong Kong)</w:t>
      </w:r>
    </w:p>
    <w:p w14:paraId="5B9B762E" w14:textId="77777777" w:rsidR="00CB0375" w:rsidRPr="00CB0375" w:rsidRDefault="00CB0375" w:rsidP="00CB0375">
      <w:pPr>
        <w:spacing w:before="100" w:beforeAutospacing="1" w:after="100" w:afterAutospacing="1" w:line="240" w:lineRule="auto"/>
        <w:outlineLvl w:val="1"/>
        <w:rPr>
          <w:rFonts w:ascii="Times" w:eastAsia="Times New Roman" w:hAnsi="Times"/>
          <w:b/>
          <w:bCs/>
          <w:sz w:val="36"/>
          <w:szCs w:val="36"/>
          <w:lang w:eastAsia="en-US"/>
        </w:rPr>
      </w:pPr>
      <w:r w:rsidRPr="00CB0375">
        <w:rPr>
          <w:rFonts w:ascii="Times" w:eastAsia="Times New Roman" w:hAnsi="Times"/>
          <w:b/>
          <w:bCs/>
          <w:sz w:val="36"/>
          <w:szCs w:val="36"/>
          <w:lang w:eastAsia="en-US"/>
        </w:rPr>
        <w:t>Degrees</w:t>
      </w:r>
    </w:p>
    <w:p w14:paraId="7611B9B2" w14:textId="77777777" w:rsidR="00CB0375" w:rsidRPr="00CB0375" w:rsidRDefault="00CB0375" w:rsidP="00CB0375">
      <w:pPr>
        <w:spacing w:before="100" w:beforeAutospacing="1" w:after="100" w:afterAutospacing="1" w:line="240" w:lineRule="auto"/>
        <w:rPr>
          <w:rFonts w:ascii="Times" w:hAnsi="Times"/>
          <w:sz w:val="20"/>
          <w:lang w:eastAsia="en-US"/>
        </w:rPr>
      </w:pPr>
      <w:r w:rsidRPr="00CB0375">
        <w:rPr>
          <w:rFonts w:ascii="Times" w:hAnsi="Times"/>
          <w:sz w:val="20"/>
          <w:lang w:eastAsia="en-US"/>
        </w:rPr>
        <w:t>BA, LLB, University of New South Wales</w:t>
      </w:r>
    </w:p>
    <w:p w14:paraId="210DCC97" w14:textId="77777777" w:rsidR="00CB0375" w:rsidRPr="00CB0375" w:rsidRDefault="00CB0375" w:rsidP="00CB0375">
      <w:pPr>
        <w:spacing w:before="100" w:beforeAutospacing="1" w:after="100" w:afterAutospacing="1" w:line="240" w:lineRule="auto"/>
        <w:outlineLvl w:val="1"/>
        <w:rPr>
          <w:rFonts w:ascii="Times" w:eastAsia="Times New Roman" w:hAnsi="Times"/>
          <w:b/>
          <w:bCs/>
          <w:sz w:val="36"/>
          <w:szCs w:val="36"/>
          <w:lang w:eastAsia="en-US"/>
        </w:rPr>
      </w:pPr>
      <w:r w:rsidRPr="00CB0375">
        <w:rPr>
          <w:rFonts w:ascii="Times" w:eastAsia="Times New Roman" w:hAnsi="Times"/>
          <w:b/>
          <w:bCs/>
          <w:sz w:val="36"/>
          <w:szCs w:val="36"/>
          <w:lang w:eastAsia="en-US"/>
        </w:rPr>
        <w:t>Practice areas</w:t>
      </w:r>
    </w:p>
    <w:p w14:paraId="3F9F7BEC" w14:textId="619A6324" w:rsidR="00072AFA" w:rsidRDefault="00072AFA" w:rsidP="00CB0375">
      <w:pPr>
        <w:numPr>
          <w:ilvl w:val="0"/>
          <w:numId w:val="23"/>
        </w:numPr>
        <w:spacing w:before="100" w:beforeAutospacing="1" w:after="100" w:afterAutospacing="1" w:line="240" w:lineRule="auto"/>
        <w:rPr>
          <w:rFonts w:ascii="Times" w:eastAsia="Times New Roman" w:hAnsi="Times"/>
          <w:sz w:val="20"/>
          <w:lang w:eastAsia="en-US"/>
        </w:rPr>
      </w:pPr>
      <w:r>
        <w:rPr>
          <w:rFonts w:ascii="Times" w:eastAsia="Times New Roman" w:hAnsi="Times"/>
          <w:sz w:val="20"/>
          <w:lang w:eastAsia="en-US"/>
        </w:rPr>
        <w:t>Common law</w:t>
      </w:r>
    </w:p>
    <w:p w14:paraId="296E7820" w14:textId="44273F03" w:rsidR="00CB0375" w:rsidRDefault="00CB0375" w:rsidP="00CB0375">
      <w:pPr>
        <w:numPr>
          <w:ilvl w:val="0"/>
          <w:numId w:val="23"/>
        </w:numPr>
        <w:spacing w:before="100" w:beforeAutospacing="1" w:after="100" w:afterAutospacing="1" w:line="240" w:lineRule="auto"/>
        <w:rPr>
          <w:rFonts w:ascii="Times" w:eastAsia="Times New Roman" w:hAnsi="Times"/>
          <w:sz w:val="20"/>
          <w:lang w:eastAsia="en-US"/>
        </w:rPr>
      </w:pPr>
      <w:r w:rsidRPr="00CB0375">
        <w:rPr>
          <w:rFonts w:ascii="Times" w:eastAsia="Times New Roman" w:hAnsi="Times"/>
          <w:sz w:val="20"/>
          <w:lang w:eastAsia="en-US"/>
        </w:rPr>
        <w:t>Professional negligence</w:t>
      </w:r>
    </w:p>
    <w:p w14:paraId="30A931BA" w14:textId="10A85446" w:rsidR="00AA5298" w:rsidRPr="00CB0375" w:rsidRDefault="00AA5298" w:rsidP="00CB0375">
      <w:pPr>
        <w:numPr>
          <w:ilvl w:val="0"/>
          <w:numId w:val="23"/>
        </w:numPr>
        <w:spacing w:before="100" w:beforeAutospacing="1" w:after="100" w:afterAutospacing="1" w:line="240" w:lineRule="auto"/>
        <w:rPr>
          <w:rFonts w:ascii="Times" w:eastAsia="Times New Roman" w:hAnsi="Times"/>
          <w:sz w:val="20"/>
          <w:lang w:eastAsia="en-US"/>
        </w:rPr>
      </w:pPr>
      <w:r>
        <w:rPr>
          <w:rFonts w:ascii="Times" w:eastAsia="Times New Roman" w:hAnsi="Times"/>
          <w:sz w:val="20"/>
          <w:lang w:eastAsia="en-US"/>
        </w:rPr>
        <w:t>Coronial</w:t>
      </w:r>
    </w:p>
    <w:p w14:paraId="0E03311B" w14:textId="77777777" w:rsidR="00CB0375" w:rsidRPr="00CB0375" w:rsidRDefault="00CB0375" w:rsidP="00CB0375">
      <w:pPr>
        <w:numPr>
          <w:ilvl w:val="0"/>
          <w:numId w:val="23"/>
        </w:numPr>
        <w:spacing w:before="100" w:beforeAutospacing="1" w:after="100" w:afterAutospacing="1" w:line="240" w:lineRule="auto"/>
        <w:rPr>
          <w:rFonts w:ascii="Times" w:eastAsia="Times New Roman" w:hAnsi="Times"/>
          <w:sz w:val="20"/>
          <w:lang w:eastAsia="en-US"/>
        </w:rPr>
      </w:pPr>
      <w:r w:rsidRPr="00CB0375">
        <w:rPr>
          <w:rFonts w:ascii="Times" w:eastAsia="Times New Roman" w:hAnsi="Times"/>
          <w:sz w:val="20"/>
          <w:lang w:eastAsia="en-US"/>
        </w:rPr>
        <w:t>Commercial law</w:t>
      </w:r>
    </w:p>
    <w:p w14:paraId="2B7F853E" w14:textId="77777777" w:rsidR="00CB0375" w:rsidRPr="00CB0375" w:rsidRDefault="00CB0375" w:rsidP="00CB0375">
      <w:pPr>
        <w:numPr>
          <w:ilvl w:val="0"/>
          <w:numId w:val="23"/>
        </w:numPr>
        <w:spacing w:before="100" w:beforeAutospacing="1" w:after="100" w:afterAutospacing="1" w:line="240" w:lineRule="auto"/>
        <w:rPr>
          <w:rFonts w:ascii="Times" w:eastAsia="Times New Roman" w:hAnsi="Times"/>
          <w:sz w:val="20"/>
          <w:lang w:eastAsia="en-US"/>
        </w:rPr>
      </w:pPr>
      <w:r w:rsidRPr="00CB0375">
        <w:rPr>
          <w:rFonts w:ascii="Times" w:eastAsia="Times New Roman" w:hAnsi="Times"/>
          <w:sz w:val="20"/>
          <w:lang w:eastAsia="en-US"/>
        </w:rPr>
        <w:t>Equity</w:t>
      </w:r>
    </w:p>
    <w:p w14:paraId="56276A59" w14:textId="77777777" w:rsidR="00CB0375" w:rsidRPr="00CB0375" w:rsidRDefault="00CB0375" w:rsidP="00CB0375">
      <w:pPr>
        <w:numPr>
          <w:ilvl w:val="0"/>
          <w:numId w:val="23"/>
        </w:numPr>
        <w:spacing w:before="100" w:beforeAutospacing="1" w:after="100" w:afterAutospacing="1" w:line="240" w:lineRule="auto"/>
        <w:rPr>
          <w:rFonts w:ascii="Times" w:eastAsia="Times New Roman" w:hAnsi="Times"/>
          <w:sz w:val="20"/>
          <w:lang w:eastAsia="en-US"/>
        </w:rPr>
      </w:pPr>
      <w:r w:rsidRPr="00CB0375">
        <w:rPr>
          <w:rFonts w:ascii="Times" w:eastAsia="Times New Roman" w:hAnsi="Times"/>
          <w:sz w:val="20"/>
          <w:lang w:eastAsia="en-US"/>
        </w:rPr>
        <w:t>Corporations law</w:t>
      </w:r>
    </w:p>
    <w:p w14:paraId="4127B578" w14:textId="77777777" w:rsidR="00CB0375" w:rsidRPr="00CB0375" w:rsidRDefault="00CB0375" w:rsidP="00CB0375">
      <w:pPr>
        <w:numPr>
          <w:ilvl w:val="0"/>
          <w:numId w:val="23"/>
        </w:numPr>
        <w:spacing w:before="100" w:beforeAutospacing="1" w:after="100" w:afterAutospacing="1" w:line="240" w:lineRule="auto"/>
        <w:rPr>
          <w:rFonts w:ascii="Times" w:eastAsia="Times New Roman" w:hAnsi="Times"/>
          <w:sz w:val="20"/>
          <w:lang w:eastAsia="en-US"/>
        </w:rPr>
      </w:pPr>
      <w:r w:rsidRPr="00CB0375">
        <w:rPr>
          <w:rFonts w:ascii="Times" w:eastAsia="Times New Roman" w:hAnsi="Times"/>
          <w:sz w:val="20"/>
          <w:lang w:eastAsia="en-US"/>
        </w:rPr>
        <w:t>Succession</w:t>
      </w:r>
    </w:p>
    <w:p w14:paraId="2B698DF8" w14:textId="77777777" w:rsidR="00CB0375" w:rsidRPr="00CB0375" w:rsidRDefault="00CB0375" w:rsidP="00CB0375">
      <w:pPr>
        <w:spacing w:before="100" w:beforeAutospacing="1" w:after="100" w:afterAutospacing="1" w:line="240" w:lineRule="auto"/>
        <w:outlineLvl w:val="1"/>
        <w:rPr>
          <w:rFonts w:ascii="Times" w:eastAsia="Times New Roman" w:hAnsi="Times"/>
          <w:b/>
          <w:bCs/>
          <w:sz w:val="36"/>
          <w:szCs w:val="36"/>
          <w:lang w:eastAsia="en-US"/>
        </w:rPr>
      </w:pPr>
      <w:r w:rsidRPr="00CB0375">
        <w:rPr>
          <w:rFonts w:ascii="Times" w:eastAsia="Times New Roman" w:hAnsi="Times"/>
          <w:b/>
          <w:bCs/>
          <w:sz w:val="36"/>
          <w:szCs w:val="36"/>
          <w:lang w:eastAsia="en-US"/>
        </w:rPr>
        <w:t>Summary profession</w:t>
      </w:r>
      <w:r>
        <w:rPr>
          <w:rFonts w:ascii="Times" w:eastAsia="Times New Roman" w:hAnsi="Times"/>
          <w:b/>
          <w:bCs/>
          <w:sz w:val="36"/>
          <w:szCs w:val="36"/>
          <w:lang w:eastAsia="en-US"/>
        </w:rPr>
        <w:t>al</w:t>
      </w:r>
      <w:r w:rsidRPr="00CB0375">
        <w:rPr>
          <w:rFonts w:ascii="Times" w:eastAsia="Times New Roman" w:hAnsi="Times"/>
          <w:b/>
          <w:bCs/>
          <w:sz w:val="36"/>
          <w:szCs w:val="36"/>
          <w:lang w:eastAsia="en-US"/>
        </w:rPr>
        <w:t xml:space="preserve"> biography</w:t>
      </w:r>
    </w:p>
    <w:p w14:paraId="4A563412" w14:textId="77777777" w:rsidR="00C13C0D" w:rsidRDefault="00C13C0D" w:rsidP="00C13C0D">
      <w:pPr>
        <w:pStyle w:val="NormalWeb"/>
      </w:pPr>
      <w:r>
        <w:t>Vanessa was called to the Bar in May 2009.  She was appointed silk in 2024.</w:t>
      </w:r>
    </w:p>
    <w:p w14:paraId="681876F8" w14:textId="77777777" w:rsidR="00C13C0D" w:rsidRDefault="00C13C0D" w:rsidP="00C13C0D">
      <w:pPr>
        <w:pStyle w:val="NormalWeb"/>
      </w:pPr>
      <w:r>
        <w:t xml:space="preserve">Vanessa appears regularly in the NSW Supreme Court, the NSW District Court, the Federal Court and the ACT Supreme Court.  She has appeared in the High Court.  She accepts briefs in a broad range of practice areas, including professional negligence, common law, coronial and equity matters.  </w:t>
      </w:r>
    </w:p>
    <w:p w14:paraId="0D98FF88" w14:textId="77777777" w:rsidR="00C13C0D" w:rsidRDefault="00C13C0D" w:rsidP="00C13C0D">
      <w:pPr>
        <w:pStyle w:val="NormalWeb"/>
      </w:pPr>
      <w:r>
        <w:t>Vanessa has extensive experience in advising and appearing in medical negligence disputes, both at first instance and on appeal.  She has also appeared in matters, including several class actions, involving novel and complex claims in tort.  Her coronial practice extends to appointments as Counsel Assisting.</w:t>
      </w:r>
    </w:p>
    <w:p w14:paraId="418FCC6A" w14:textId="77777777" w:rsidR="00C13C0D" w:rsidRDefault="00C13C0D" w:rsidP="00C13C0D">
      <w:pPr>
        <w:pStyle w:val="NormalWeb"/>
      </w:pPr>
      <w:r>
        <w:lastRenderedPageBreak/>
        <w:t>Vanessa is also an accredited mediator and has many years of experience as a mediator both in NSW and the ACT.</w:t>
      </w:r>
    </w:p>
    <w:p w14:paraId="44A1C757" w14:textId="77777777" w:rsidR="00C13C0D" w:rsidRDefault="00C13C0D" w:rsidP="00C13C0D">
      <w:pPr>
        <w:pStyle w:val="NormalWeb"/>
      </w:pPr>
      <w:r>
        <w:t xml:space="preserve">Before being called to the bar, Vanessa had a </w:t>
      </w:r>
      <w:proofErr w:type="gramStart"/>
      <w:r>
        <w:t>20 year</w:t>
      </w:r>
      <w:proofErr w:type="gramEnd"/>
      <w:r>
        <w:t xml:space="preserve"> career as a solicitor which began at Mallesons in Sydney and continued in Hong Kong, practising in commercial litigation and arbitration. Vanessa was appointed a partner of Mallesons in Hong Kong, in 1997.  </w:t>
      </w:r>
    </w:p>
    <w:p w14:paraId="0D6FB7A0" w14:textId="60594FC4" w:rsidR="00A9500A" w:rsidRPr="008D6835" w:rsidRDefault="008D6835" w:rsidP="00A9500A">
      <w:pPr>
        <w:pStyle w:val="NormalWeb"/>
        <w:rPr>
          <w:rFonts w:cstheme="minorBidi"/>
        </w:rPr>
      </w:pPr>
      <w:r w:rsidRPr="008D6835">
        <w:rPr>
          <w:rFonts w:cstheme="minorBidi"/>
        </w:rPr>
        <w:t>Selected cases include:</w:t>
      </w:r>
    </w:p>
    <w:p w14:paraId="47191DE8" w14:textId="642077D8" w:rsidR="00C13C0D" w:rsidRDefault="00C13C0D" w:rsidP="008D6835">
      <w:pPr>
        <w:pStyle w:val="NormalWeb"/>
        <w:numPr>
          <w:ilvl w:val="0"/>
          <w:numId w:val="26"/>
        </w:numPr>
        <w:spacing w:before="120" w:beforeAutospacing="0" w:after="120" w:afterAutospacing="0"/>
        <w:ind w:left="714" w:hanging="357"/>
        <w:rPr>
          <w:rStyle w:val="Emphasis"/>
          <w:rFonts w:cstheme="minorBidi"/>
          <w:i w:val="0"/>
          <w:iCs w:val="0"/>
          <w:color w:val="000000" w:themeColor="text1"/>
        </w:rPr>
      </w:pPr>
      <w:r w:rsidRPr="009A7118">
        <w:rPr>
          <w:rStyle w:val="Emphasis"/>
          <w:rFonts w:cstheme="minorBidi"/>
          <w:b/>
          <w:bCs/>
          <w:color w:val="000000" w:themeColor="text1"/>
        </w:rPr>
        <w:t>Golden v Howard</w:t>
      </w:r>
      <w:r>
        <w:rPr>
          <w:rStyle w:val="Emphasis"/>
          <w:rFonts w:cstheme="minorBidi"/>
          <w:i w:val="0"/>
          <w:iCs w:val="0"/>
          <w:color w:val="000000" w:themeColor="text1"/>
        </w:rPr>
        <w:t xml:space="preserve"> [2025] NSWCA 117</w:t>
      </w:r>
      <w:r w:rsidR="009A7118">
        <w:rPr>
          <w:rStyle w:val="Emphasis"/>
          <w:rFonts w:cstheme="minorBidi"/>
          <w:i w:val="0"/>
          <w:iCs w:val="0"/>
          <w:color w:val="000000" w:themeColor="text1"/>
        </w:rPr>
        <w:t xml:space="preserve"> – Vexatious litigant orders</w:t>
      </w:r>
    </w:p>
    <w:p w14:paraId="339C1D3F" w14:textId="6052B3B1" w:rsidR="00C13C0D" w:rsidRDefault="00C13C0D" w:rsidP="008D6835">
      <w:pPr>
        <w:pStyle w:val="NormalWeb"/>
        <w:numPr>
          <w:ilvl w:val="0"/>
          <w:numId w:val="26"/>
        </w:numPr>
        <w:spacing w:before="120" w:beforeAutospacing="0" w:after="120" w:afterAutospacing="0"/>
        <w:ind w:left="714" w:hanging="357"/>
        <w:rPr>
          <w:rStyle w:val="Emphasis"/>
          <w:rFonts w:cstheme="minorBidi"/>
          <w:i w:val="0"/>
          <w:iCs w:val="0"/>
          <w:color w:val="000000" w:themeColor="text1"/>
        </w:rPr>
      </w:pPr>
      <w:r w:rsidRPr="009A7118">
        <w:rPr>
          <w:rStyle w:val="Emphasis"/>
          <w:rFonts w:cstheme="minorBidi"/>
          <w:b/>
          <w:bCs/>
          <w:color w:val="000000" w:themeColor="text1"/>
        </w:rPr>
        <w:t>Alrifai v Australian Capital Territory</w:t>
      </w:r>
      <w:r>
        <w:rPr>
          <w:rStyle w:val="Emphasis"/>
          <w:rFonts w:cstheme="minorBidi"/>
          <w:i w:val="0"/>
          <w:iCs w:val="0"/>
          <w:color w:val="000000" w:themeColor="text1"/>
        </w:rPr>
        <w:t xml:space="preserve"> [2024] ACT</w:t>
      </w:r>
      <w:r w:rsidR="009A7118">
        <w:rPr>
          <w:rStyle w:val="Emphasis"/>
          <w:rFonts w:cstheme="minorBidi"/>
          <w:i w:val="0"/>
          <w:iCs w:val="0"/>
          <w:color w:val="000000" w:themeColor="text1"/>
        </w:rPr>
        <w:t>C</w:t>
      </w:r>
      <w:r>
        <w:rPr>
          <w:rStyle w:val="Emphasis"/>
          <w:rFonts w:cstheme="minorBidi"/>
          <w:i w:val="0"/>
          <w:iCs w:val="0"/>
          <w:color w:val="000000" w:themeColor="text1"/>
        </w:rPr>
        <w:t>A 13 – Medical negligence</w:t>
      </w:r>
    </w:p>
    <w:p w14:paraId="0F98CA97" w14:textId="61F483CE" w:rsidR="009A7118" w:rsidRDefault="009A7118" w:rsidP="008D6835">
      <w:pPr>
        <w:pStyle w:val="NormalWeb"/>
        <w:numPr>
          <w:ilvl w:val="0"/>
          <w:numId w:val="26"/>
        </w:numPr>
        <w:spacing w:before="120" w:beforeAutospacing="0" w:after="120" w:afterAutospacing="0"/>
        <w:ind w:left="714" w:hanging="357"/>
        <w:rPr>
          <w:rStyle w:val="Emphasis"/>
          <w:rFonts w:cstheme="minorBidi"/>
          <w:i w:val="0"/>
          <w:iCs w:val="0"/>
          <w:color w:val="000000" w:themeColor="text1"/>
        </w:rPr>
      </w:pPr>
      <w:r w:rsidRPr="009A7118">
        <w:rPr>
          <w:rStyle w:val="Emphasis"/>
          <w:rFonts w:cstheme="minorBidi"/>
          <w:b/>
          <w:bCs/>
          <w:color w:val="000000" w:themeColor="text1"/>
        </w:rPr>
        <w:t>Haigh v Haddad</w:t>
      </w:r>
      <w:r>
        <w:rPr>
          <w:rStyle w:val="Emphasis"/>
          <w:rFonts w:cstheme="minorBidi"/>
          <w:i w:val="0"/>
          <w:iCs w:val="0"/>
          <w:color w:val="000000" w:themeColor="text1"/>
        </w:rPr>
        <w:t xml:space="preserve"> [2025] NSWCA 28 – Summary dismissal, misfeasance in public office</w:t>
      </w:r>
    </w:p>
    <w:p w14:paraId="39E856B4" w14:textId="77C874C5" w:rsidR="00C13C0D" w:rsidRDefault="00C13C0D" w:rsidP="008D6835">
      <w:pPr>
        <w:pStyle w:val="NormalWeb"/>
        <w:numPr>
          <w:ilvl w:val="0"/>
          <w:numId w:val="26"/>
        </w:numPr>
        <w:spacing w:before="120" w:beforeAutospacing="0" w:after="120" w:afterAutospacing="0"/>
        <w:ind w:left="714" w:hanging="357"/>
        <w:rPr>
          <w:rStyle w:val="Emphasis"/>
          <w:rFonts w:cstheme="minorBidi"/>
          <w:i w:val="0"/>
          <w:iCs w:val="0"/>
          <w:color w:val="000000" w:themeColor="text1"/>
        </w:rPr>
      </w:pPr>
      <w:r w:rsidRPr="009A7118">
        <w:rPr>
          <w:rStyle w:val="Emphasis"/>
          <w:rFonts w:cstheme="minorBidi"/>
          <w:b/>
          <w:bCs/>
          <w:color w:val="000000" w:themeColor="text1"/>
        </w:rPr>
        <w:t>Ellis v Commonwealth of Australia</w:t>
      </w:r>
      <w:r>
        <w:rPr>
          <w:rStyle w:val="Emphasis"/>
          <w:rFonts w:cstheme="minorBidi"/>
          <w:i w:val="0"/>
          <w:iCs w:val="0"/>
          <w:color w:val="000000" w:themeColor="text1"/>
        </w:rPr>
        <w:t xml:space="preserve"> [2023] NSWSC 550; (2023) 411 ALR 578 – The stolen generation class action – tort</w:t>
      </w:r>
    </w:p>
    <w:p w14:paraId="0CD0237D" w14:textId="6104EF25" w:rsidR="00C13C0D" w:rsidRPr="00C13C0D" w:rsidRDefault="00C13C0D" w:rsidP="008D6835">
      <w:pPr>
        <w:pStyle w:val="NormalWeb"/>
        <w:numPr>
          <w:ilvl w:val="0"/>
          <w:numId w:val="26"/>
        </w:numPr>
        <w:spacing w:before="120" w:beforeAutospacing="0" w:after="120" w:afterAutospacing="0"/>
        <w:ind w:left="714" w:hanging="357"/>
        <w:rPr>
          <w:rStyle w:val="Emphasis"/>
          <w:rFonts w:cstheme="minorBidi"/>
          <w:i w:val="0"/>
          <w:iCs w:val="0"/>
          <w:color w:val="000000" w:themeColor="text1"/>
        </w:rPr>
      </w:pPr>
      <w:r w:rsidRPr="009A7118">
        <w:rPr>
          <w:rStyle w:val="Emphasis"/>
          <w:rFonts w:cstheme="minorBidi"/>
          <w:b/>
          <w:bCs/>
          <w:color w:val="000000" w:themeColor="text1"/>
        </w:rPr>
        <w:t>Jeffries v ACT</w:t>
      </w:r>
      <w:r>
        <w:rPr>
          <w:rStyle w:val="Emphasis"/>
          <w:rFonts w:cstheme="minorBidi"/>
          <w:i w:val="0"/>
          <w:iCs w:val="0"/>
          <w:color w:val="000000" w:themeColor="text1"/>
        </w:rPr>
        <w:t xml:space="preserve"> [2023] ASCSC 239 – historical child abuse, protected information</w:t>
      </w:r>
    </w:p>
    <w:p w14:paraId="27ED4D78" w14:textId="4AAB95BC" w:rsidR="005C53F6" w:rsidRPr="005C53F6" w:rsidRDefault="005C53F6" w:rsidP="008D6835">
      <w:pPr>
        <w:pStyle w:val="NormalWeb"/>
        <w:numPr>
          <w:ilvl w:val="0"/>
          <w:numId w:val="26"/>
        </w:numPr>
        <w:spacing w:before="120" w:beforeAutospacing="0" w:after="120" w:afterAutospacing="0"/>
        <w:ind w:left="714" w:hanging="357"/>
        <w:rPr>
          <w:rStyle w:val="Emphasis"/>
          <w:rFonts w:cstheme="minorBidi"/>
          <w:i w:val="0"/>
          <w:iCs w:val="0"/>
          <w:color w:val="000000" w:themeColor="text1"/>
        </w:rPr>
      </w:pPr>
      <w:r w:rsidRPr="005C53F6">
        <w:rPr>
          <w:rStyle w:val="Emphasis"/>
          <w:rFonts w:cstheme="minorBidi"/>
          <w:b/>
          <w:bCs/>
          <w:color w:val="000000" w:themeColor="text1"/>
        </w:rPr>
        <w:t>Inquest into the death of Brontë Haskins</w:t>
      </w:r>
      <w:r>
        <w:rPr>
          <w:rStyle w:val="Emphasis"/>
          <w:rFonts w:cstheme="minorBidi"/>
          <w:i w:val="0"/>
          <w:iCs w:val="0"/>
          <w:color w:val="000000" w:themeColor="text1"/>
        </w:rPr>
        <w:t xml:space="preserve"> [2023] ACTCD 4</w:t>
      </w:r>
    </w:p>
    <w:p w14:paraId="6E9937C4" w14:textId="64B5A7A5" w:rsidR="005C53F6" w:rsidRPr="005C53F6" w:rsidRDefault="005C53F6" w:rsidP="008D6835">
      <w:pPr>
        <w:pStyle w:val="NormalWeb"/>
        <w:numPr>
          <w:ilvl w:val="0"/>
          <w:numId w:val="26"/>
        </w:numPr>
        <w:spacing w:before="120" w:beforeAutospacing="0" w:after="120" w:afterAutospacing="0"/>
        <w:ind w:left="714" w:hanging="357"/>
        <w:rPr>
          <w:rStyle w:val="Emphasis"/>
          <w:rFonts w:cstheme="minorBidi"/>
          <w:i w:val="0"/>
          <w:iCs w:val="0"/>
          <w:color w:val="000000" w:themeColor="text1"/>
        </w:rPr>
      </w:pPr>
      <w:r w:rsidRPr="005C53F6">
        <w:rPr>
          <w:rStyle w:val="Emphasis"/>
          <w:rFonts w:cstheme="minorBidi"/>
          <w:b/>
          <w:bCs/>
          <w:color w:val="000000" w:themeColor="text1"/>
        </w:rPr>
        <w:t>Inquest into the death of Elizabeth [name suppressed] Coroner’s Court of NSW</w:t>
      </w:r>
      <w:r>
        <w:rPr>
          <w:rStyle w:val="Emphasis"/>
          <w:rFonts w:cstheme="minorBidi"/>
          <w:i w:val="0"/>
          <w:iCs w:val="0"/>
          <w:color w:val="000000" w:themeColor="text1"/>
        </w:rPr>
        <w:t>, 2019/217102</w:t>
      </w:r>
    </w:p>
    <w:p w14:paraId="08572522" w14:textId="35E6B421" w:rsidR="005C53F6" w:rsidRPr="005C53F6" w:rsidRDefault="005C53F6" w:rsidP="008D6835">
      <w:pPr>
        <w:pStyle w:val="NormalWeb"/>
        <w:numPr>
          <w:ilvl w:val="0"/>
          <w:numId w:val="26"/>
        </w:numPr>
        <w:spacing w:before="120" w:beforeAutospacing="0" w:after="120" w:afterAutospacing="0"/>
        <w:ind w:left="714" w:hanging="357"/>
        <w:rPr>
          <w:rStyle w:val="Emphasis"/>
          <w:rFonts w:cstheme="minorBidi"/>
          <w:i w:val="0"/>
          <w:iCs w:val="0"/>
          <w:color w:val="000000" w:themeColor="text1"/>
        </w:rPr>
      </w:pPr>
      <w:r w:rsidRPr="005C53F6">
        <w:rPr>
          <w:rStyle w:val="Emphasis"/>
          <w:rFonts w:cstheme="minorBidi"/>
          <w:b/>
          <w:bCs/>
          <w:color w:val="000000" w:themeColor="text1"/>
        </w:rPr>
        <w:t>Inquest into the death of Christiaan Adriaan Roodt</w:t>
      </w:r>
      <w:r>
        <w:rPr>
          <w:rStyle w:val="Emphasis"/>
          <w:rFonts w:cstheme="minorBidi"/>
          <w:i w:val="0"/>
          <w:iCs w:val="0"/>
          <w:color w:val="000000" w:themeColor="text1"/>
        </w:rPr>
        <w:t xml:space="preserve"> [2023] ACTCD 5</w:t>
      </w:r>
    </w:p>
    <w:p w14:paraId="678059CD" w14:textId="52830B59" w:rsidR="005C53F6" w:rsidRPr="005C53F6" w:rsidRDefault="005C53F6" w:rsidP="008D6835">
      <w:pPr>
        <w:pStyle w:val="NormalWeb"/>
        <w:numPr>
          <w:ilvl w:val="0"/>
          <w:numId w:val="26"/>
        </w:numPr>
        <w:spacing w:before="120" w:beforeAutospacing="0" w:after="120" w:afterAutospacing="0"/>
        <w:ind w:left="714" w:hanging="357"/>
        <w:rPr>
          <w:rStyle w:val="Emphasis"/>
          <w:rFonts w:cstheme="minorBidi"/>
          <w:i w:val="0"/>
          <w:iCs w:val="0"/>
          <w:color w:val="000000" w:themeColor="text1"/>
        </w:rPr>
      </w:pPr>
      <w:r w:rsidRPr="005C53F6">
        <w:rPr>
          <w:rStyle w:val="Emphasis"/>
          <w:rFonts w:cstheme="minorBidi"/>
          <w:b/>
          <w:bCs/>
          <w:color w:val="000000" w:themeColor="text1"/>
        </w:rPr>
        <w:t>Inquest into the death of Andrea Lester</w:t>
      </w:r>
      <w:r>
        <w:rPr>
          <w:rStyle w:val="Emphasis"/>
          <w:rFonts w:cstheme="minorBidi"/>
          <w:i w:val="0"/>
          <w:iCs w:val="0"/>
          <w:color w:val="000000" w:themeColor="text1"/>
        </w:rPr>
        <w:t>, Coroner’s Court of NSW, 2018/190647</w:t>
      </w:r>
    </w:p>
    <w:p w14:paraId="3A6131C2" w14:textId="549C2EE2" w:rsidR="008551BD" w:rsidRPr="008551BD" w:rsidRDefault="008551BD" w:rsidP="008D6835">
      <w:pPr>
        <w:pStyle w:val="NormalWeb"/>
        <w:numPr>
          <w:ilvl w:val="0"/>
          <w:numId w:val="26"/>
        </w:numPr>
        <w:spacing w:before="120" w:beforeAutospacing="0" w:after="120" w:afterAutospacing="0"/>
        <w:ind w:left="714" w:hanging="357"/>
        <w:rPr>
          <w:rStyle w:val="Emphasis"/>
          <w:rFonts w:cstheme="minorBidi"/>
          <w:i w:val="0"/>
          <w:iCs w:val="0"/>
          <w:color w:val="000000" w:themeColor="text1"/>
        </w:rPr>
      </w:pPr>
      <w:r w:rsidRPr="008551BD">
        <w:rPr>
          <w:rStyle w:val="Emphasis"/>
          <w:rFonts w:cstheme="minorBidi"/>
          <w:b/>
          <w:bCs/>
          <w:color w:val="000000" w:themeColor="text1"/>
        </w:rPr>
        <w:t>Alrifai v Australian Capital Territory</w:t>
      </w:r>
      <w:r>
        <w:rPr>
          <w:rStyle w:val="Emphasis"/>
          <w:rFonts w:cstheme="minorBidi"/>
          <w:i w:val="0"/>
          <w:iCs w:val="0"/>
          <w:color w:val="000000" w:themeColor="text1"/>
        </w:rPr>
        <w:t xml:space="preserve"> [2022] ACTSC 48 – medical negligence</w:t>
      </w:r>
    </w:p>
    <w:p w14:paraId="46BE3B65" w14:textId="0E2EF45C" w:rsidR="008551BD" w:rsidRPr="008551BD" w:rsidRDefault="008551BD" w:rsidP="008D6835">
      <w:pPr>
        <w:pStyle w:val="NormalWeb"/>
        <w:numPr>
          <w:ilvl w:val="0"/>
          <w:numId w:val="26"/>
        </w:numPr>
        <w:spacing w:before="120" w:beforeAutospacing="0" w:after="120" w:afterAutospacing="0"/>
        <w:ind w:left="714" w:hanging="357"/>
        <w:rPr>
          <w:rStyle w:val="Emphasis"/>
          <w:rFonts w:cstheme="minorBidi"/>
          <w:i w:val="0"/>
          <w:iCs w:val="0"/>
          <w:color w:val="000000" w:themeColor="text1"/>
        </w:rPr>
      </w:pPr>
      <w:r w:rsidRPr="008551BD">
        <w:rPr>
          <w:rStyle w:val="Emphasis"/>
          <w:rFonts w:cstheme="minorBidi"/>
          <w:b/>
          <w:bCs/>
          <w:color w:val="000000" w:themeColor="text1"/>
        </w:rPr>
        <w:t xml:space="preserve">Inquests into the deaths of </w:t>
      </w:r>
      <w:proofErr w:type="spellStart"/>
      <w:r w:rsidRPr="008551BD">
        <w:rPr>
          <w:rStyle w:val="Emphasis"/>
          <w:rFonts w:cstheme="minorBidi"/>
          <w:b/>
          <w:bCs/>
          <w:color w:val="000000" w:themeColor="text1"/>
        </w:rPr>
        <w:t>Bearham</w:t>
      </w:r>
      <w:proofErr w:type="spellEnd"/>
      <w:r w:rsidRPr="008551BD">
        <w:rPr>
          <w:rStyle w:val="Emphasis"/>
          <w:rFonts w:cstheme="minorBidi"/>
          <w:b/>
          <w:bCs/>
          <w:color w:val="000000" w:themeColor="text1"/>
        </w:rPr>
        <w:t>, Fisher, Douch and Lucas</w:t>
      </w:r>
      <w:r>
        <w:rPr>
          <w:rStyle w:val="Emphasis"/>
          <w:rFonts w:cstheme="minorBidi"/>
          <w:i w:val="0"/>
          <w:iCs w:val="0"/>
          <w:color w:val="000000" w:themeColor="text1"/>
        </w:rPr>
        <w:t xml:space="preserve"> [2021] ACTCD 1</w:t>
      </w:r>
    </w:p>
    <w:p w14:paraId="0C64E49F" w14:textId="15595A3D" w:rsidR="008551BD" w:rsidRPr="008551BD" w:rsidRDefault="008551BD" w:rsidP="008D6835">
      <w:pPr>
        <w:pStyle w:val="NormalWeb"/>
        <w:numPr>
          <w:ilvl w:val="0"/>
          <w:numId w:val="26"/>
        </w:numPr>
        <w:spacing w:before="120" w:beforeAutospacing="0" w:after="120" w:afterAutospacing="0"/>
        <w:ind w:left="714" w:hanging="357"/>
        <w:rPr>
          <w:rStyle w:val="Emphasis"/>
          <w:rFonts w:cstheme="minorBidi"/>
          <w:i w:val="0"/>
          <w:iCs w:val="0"/>
          <w:color w:val="000000" w:themeColor="text1"/>
        </w:rPr>
      </w:pPr>
      <w:r w:rsidRPr="008551BD">
        <w:rPr>
          <w:rStyle w:val="Emphasis"/>
          <w:rFonts w:cstheme="minorBidi"/>
          <w:b/>
          <w:bCs/>
          <w:color w:val="000000" w:themeColor="text1"/>
        </w:rPr>
        <w:t>Higgins v Australian Capital Territory</w:t>
      </w:r>
      <w:r>
        <w:rPr>
          <w:rStyle w:val="Emphasis"/>
          <w:rFonts w:cstheme="minorBidi"/>
          <w:i w:val="0"/>
          <w:iCs w:val="0"/>
          <w:color w:val="000000" w:themeColor="text1"/>
        </w:rPr>
        <w:t xml:space="preserve"> [2020] ACTCA 56 – </w:t>
      </w:r>
      <w:r w:rsidR="00E712CA">
        <w:rPr>
          <w:rStyle w:val="Emphasis"/>
          <w:rFonts w:cstheme="minorBidi"/>
          <w:i w:val="0"/>
          <w:iCs w:val="0"/>
          <w:color w:val="000000" w:themeColor="text1"/>
        </w:rPr>
        <w:t>property/equity/</w:t>
      </w:r>
      <w:r>
        <w:rPr>
          <w:rStyle w:val="Emphasis"/>
          <w:rFonts w:cstheme="minorBidi"/>
          <w:i w:val="0"/>
          <w:iCs w:val="0"/>
          <w:color w:val="000000" w:themeColor="text1"/>
        </w:rPr>
        <w:t>summary dismissal</w:t>
      </w:r>
    </w:p>
    <w:p w14:paraId="7DEBD20E" w14:textId="00F6854F" w:rsidR="00AA5298" w:rsidRPr="00AA5298" w:rsidRDefault="00AA5298" w:rsidP="008D6835">
      <w:pPr>
        <w:pStyle w:val="NormalWeb"/>
        <w:numPr>
          <w:ilvl w:val="0"/>
          <w:numId w:val="26"/>
        </w:numPr>
        <w:spacing w:before="120" w:beforeAutospacing="0" w:after="120" w:afterAutospacing="0"/>
        <w:ind w:left="714" w:hanging="357"/>
        <w:rPr>
          <w:rStyle w:val="Emphasis"/>
          <w:rFonts w:cstheme="minorBidi"/>
          <w:i w:val="0"/>
          <w:iCs w:val="0"/>
          <w:color w:val="000000" w:themeColor="text1"/>
        </w:rPr>
      </w:pPr>
      <w:r w:rsidRPr="00AA5298">
        <w:rPr>
          <w:rStyle w:val="Emphasis"/>
          <w:rFonts w:cstheme="minorBidi"/>
          <w:b/>
          <w:bCs/>
          <w:color w:val="000000" w:themeColor="text1"/>
        </w:rPr>
        <w:t>Meyers v Commissioner for Social Housing</w:t>
      </w:r>
      <w:r>
        <w:rPr>
          <w:rStyle w:val="Emphasis"/>
          <w:rFonts w:cstheme="minorBidi"/>
          <w:i w:val="0"/>
          <w:iCs w:val="0"/>
          <w:color w:val="000000" w:themeColor="text1"/>
        </w:rPr>
        <w:t xml:space="preserve"> [2019] ACTCA 19 – public liability (special leave refused)</w:t>
      </w:r>
    </w:p>
    <w:p w14:paraId="1B18334F" w14:textId="19FF9B0C"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r w:rsidRPr="008D6835">
        <w:rPr>
          <w:rStyle w:val="Emphasis"/>
          <w:rFonts w:cstheme="minorBidi"/>
          <w:b/>
          <w:bCs/>
          <w:color w:val="000000" w:themeColor="text1"/>
        </w:rPr>
        <w:t>Meyers v Commissioner for Social Housing</w:t>
      </w:r>
      <w:r w:rsidRPr="008D6835">
        <w:rPr>
          <w:rStyle w:val="Emphasis"/>
          <w:rFonts w:cstheme="minorBidi"/>
          <w:i w:val="0"/>
          <w:iCs w:val="0"/>
          <w:color w:val="000000" w:themeColor="text1"/>
        </w:rPr>
        <w:t xml:space="preserve"> [2018] ACTSC 193</w:t>
      </w:r>
      <w:r w:rsidRPr="008D6835">
        <w:rPr>
          <w:rFonts w:cstheme="minorBidi"/>
          <w:color w:val="000000" w:themeColor="text1"/>
        </w:rPr>
        <w:t xml:space="preserve"> – public liability</w:t>
      </w:r>
    </w:p>
    <w:p w14:paraId="0A750EC8" w14:textId="05E18CFE"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r w:rsidRPr="008D6835">
        <w:rPr>
          <w:rStyle w:val="Emphasis"/>
          <w:rFonts w:cstheme="minorBidi"/>
          <w:b/>
          <w:bCs/>
          <w:color w:val="000000" w:themeColor="text1"/>
        </w:rPr>
        <w:t>Grass v Slattery</w:t>
      </w:r>
      <w:r w:rsidRPr="008D6835">
        <w:rPr>
          <w:rStyle w:val="Emphasis"/>
          <w:rFonts w:cstheme="minorBidi"/>
          <w:i w:val="0"/>
          <w:iCs w:val="0"/>
          <w:color w:val="000000" w:themeColor="text1"/>
        </w:rPr>
        <w:t xml:space="preserve"> [2018] FCA 1719</w:t>
      </w:r>
      <w:r w:rsidRPr="008D6835">
        <w:rPr>
          <w:rFonts w:cstheme="minorBidi"/>
          <w:color w:val="000000" w:themeColor="text1"/>
        </w:rPr>
        <w:t xml:space="preserve"> – public administration, misfeasance in public office</w:t>
      </w:r>
    </w:p>
    <w:p w14:paraId="47C4C128" w14:textId="5A69FCDB"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r w:rsidRPr="008D6835">
        <w:rPr>
          <w:rStyle w:val="Emphasis"/>
          <w:rFonts w:cstheme="minorBidi"/>
          <w:b/>
          <w:bCs/>
          <w:color w:val="000000" w:themeColor="text1"/>
        </w:rPr>
        <w:t>BOC Limited v Ambulance Victoria</w:t>
      </w:r>
      <w:r w:rsidRPr="008D6835">
        <w:rPr>
          <w:rStyle w:val="Emphasis"/>
          <w:rFonts w:cstheme="minorBidi"/>
          <w:i w:val="0"/>
          <w:iCs w:val="0"/>
          <w:color w:val="000000" w:themeColor="text1"/>
        </w:rPr>
        <w:t xml:space="preserve"> [2016] NSWSC 1166</w:t>
      </w:r>
      <w:r w:rsidRPr="008D6835">
        <w:rPr>
          <w:rFonts w:cstheme="minorBidi"/>
          <w:color w:val="000000" w:themeColor="text1"/>
        </w:rPr>
        <w:t xml:space="preserve"> (commercial/transfer of proceedings)</w:t>
      </w:r>
    </w:p>
    <w:p w14:paraId="5A6EB2FD" w14:textId="6B7150C2"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r w:rsidRPr="00E3059D">
        <w:rPr>
          <w:rStyle w:val="Emphasis"/>
          <w:rFonts w:cstheme="minorBidi"/>
          <w:b/>
          <w:bCs/>
          <w:color w:val="000000" w:themeColor="text1"/>
        </w:rPr>
        <w:t>Hartigan v Commissioner for Social Housing in the Australian Capital Territory</w:t>
      </w:r>
      <w:r w:rsidRPr="008D6835">
        <w:rPr>
          <w:rStyle w:val="Emphasis"/>
          <w:rFonts w:cstheme="minorBidi"/>
          <w:i w:val="0"/>
          <w:iCs w:val="0"/>
          <w:color w:val="000000" w:themeColor="text1"/>
        </w:rPr>
        <w:t xml:space="preserve"> </w:t>
      </w:r>
      <w:r w:rsidRPr="008D6835">
        <w:rPr>
          <w:rFonts w:cstheme="minorBidi"/>
          <w:color w:val="000000" w:themeColor="text1"/>
        </w:rPr>
        <w:t>(2017) 319 FLR 158 (torts, liability of public authorities)</w:t>
      </w:r>
    </w:p>
    <w:p w14:paraId="63D583A0" w14:textId="4F38F5A6"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r w:rsidRPr="00E3059D">
        <w:rPr>
          <w:rStyle w:val="Hyperlink"/>
          <w:rFonts w:cstheme="minorBidi"/>
          <w:b/>
          <w:bCs/>
          <w:i/>
          <w:color w:val="000000" w:themeColor="text1"/>
          <w:u w:val="none"/>
        </w:rPr>
        <w:t>Roberts v Westpac Banking Corporation</w:t>
      </w:r>
      <w:r w:rsidRPr="008D6835">
        <w:rPr>
          <w:rStyle w:val="Hyperlink"/>
          <w:rFonts w:cstheme="minorBidi"/>
          <w:iCs/>
          <w:color w:val="000000" w:themeColor="text1"/>
          <w:u w:val="none"/>
        </w:rPr>
        <w:t xml:space="preserve"> </w:t>
      </w:r>
      <w:r w:rsidRPr="008D6835">
        <w:rPr>
          <w:rStyle w:val="Hyperlink"/>
          <w:rFonts w:cstheme="minorBidi"/>
          <w:color w:val="000000" w:themeColor="text1"/>
          <w:u w:val="none"/>
        </w:rPr>
        <w:t>[2016] ACTCA 68</w:t>
      </w:r>
      <w:r w:rsidRPr="008D6835">
        <w:rPr>
          <w:rFonts w:cstheme="minorBidi"/>
          <w:color w:val="000000" w:themeColor="text1"/>
        </w:rPr>
        <w:t xml:space="preserve"> (torts)</w:t>
      </w:r>
    </w:p>
    <w:p w14:paraId="11278AA9" w14:textId="549A62D5"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r w:rsidRPr="00E3059D">
        <w:rPr>
          <w:rStyle w:val="Emphasis"/>
          <w:rFonts w:cstheme="minorBidi"/>
          <w:b/>
          <w:bCs/>
          <w:color w:val="000000" w:themeColor="text1"/>
        </w:rPr>
        <w:t>Owners - Units Plan 239 v Australian Capital Territory</w:t>
      </w:r>
      <w:r w:rsidRPr="008D6835">
        <w:rPr>
          <w:rStyle w:val="Emphasis"/>
          <w:rFonts w:cstheme="minorBidi"/>
          <w:i w:val="0"/>
          <w:iCs w:val="0"/>
          <w:color w:val="000000" w:themeColor="text1"/>
        </w:rPr>
        <w:t xml:space="preserve"> [2016] ACTSC 81</w:t>
      </w:r>
      <w:r w:rsidRPr="008D6835">
        <w:rPr>
          <w:rFonts w:cstheme="minorBidi"/>
          <w:color w:val="000000" w:themeColor="text1"/>
        </w:rPr>
        <w:t xml:space="preserve"> (tort/property damage)</w:t>
      </w:r>
    </w:p>
    <w:p w14:paraId="34FF40B3" w14:textId="444C7548"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proofErr w:type="spellStart"/>
      <w:r w:rsidRPr="00E3059D">
        <w:rPr>
          <w:rStyle w:val="Emphasis"/>
          <w:rFonts w:cstheme="minorBidi"/>
          <w:b/>
          <w:bCs/>
          <w:color w:val="000000" w:themeColor="text1"/>
        </w:rPr>
        <w:t>Stekovic</w:t>
      </w:r>
      <w:proofErr w:type="spellEnd"/>
      <w:r w:rsidRPr="00E3059D">
        <w:rPr>
          <w:rStyle w:val="Emphasis"/>
          <w:rFonts w:cstheme="minorBidi"/>
          <w:b/>
          <w:bCs/>
          <w:color w:val="000000" w:themeColor="text1"/>
        </w:rPr>
        <w:t xml:space="preserve"> v Australian Capital Territory</w:t>
      </w:r>
      <w:r w:rsidRPr="008D6835">
        <w:rPr>
          <w:rStyle w:val="Emphasis"/>
          <w:rFonts w:cstheme="minorBidi"/>
          <w:i w:val="0"/>
          <w:iCs w:val="0"/>
          <w:color w:val="000000" w:themeColor="text1"/>
        </w:rPr>
        <w:t xml:space="preserve"> [2015] ACTSC 385</w:t>
      </w:r>
      <w:r w:rsidRPr="008D6835">
        <w:rPr>
          <w:rFonts w:cstheme="minorBidi"/>
          <w:color w:val="000000" w:themeColor="text1"/>
        </w:rPr>
        <w:t xml:space="preserve"> (professional negligence)</w:t>
      </w:r>
    </w:p>
    <w:p w14:paraId="2830D032" w14:textId="57350118"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lang w:val="fr-FR"/>
        </w:rPr>
      </w:pPr>
      <w:r w:rsidRPr="00E3059D">
        <w:rPr>
          <w:rStyle w:val="Emphasis"/>
          <w:rFonts w:cstheme="minorBidi"/>
          <w:b/>
          <w:bCs/>
          <w:color w:val="000000" w:themeColor="text1"/>
          <w:lang w:val="fr-FR"/>
        </w:rPr>
        <w:t>Waller v James</w:t>
      </w:r>
      <w:r w:rsidRPr="008D6835">
        <w:rPr>
          <w:rStyle w:val="Emphasis"/>
          <w:rFonts w:cstheme="minorBidi"/>
          <w:i w:val="0"/>
          <w:iCs w:val="0"/>
          <w:color w:val="000000" w:themeColor="text1"/>
          <w:lang w:val="fr-FR"/>
        </w:rPr>
        <w:t xml:space="preserve"> (2015) 90 NSWLR 634</w:t>
      </w:r>
      <w:r w:rsidRPr="008D6835">
        <w:rPr>
          <w:rFonts w:cstheme="minorBidi"/>
          <w:color w:val="000000" w:themeColor="text1"/>
          <w:lang w:val="fr-FR"/>
        </w:rPr>
        <w:t> (professional negligence)</w:t>
      </w:r>
    </w:p>
    <w:p w14:paraId="73AFE06F" w14:textId="539621A5" w:rsidR="00A618CF" w:rsidRPr="00E3059D" w:rsidRDefault="008D6835" w:rsidP="008D6835">
      <w:pPr>
        <w:pStyle w:val="NormalWeb"/>
        <w:numPr>
          <w:ilvl w:val="0"/>
          <w:numId w:val="26"/>
        </w:numPr>
        <w:spacing w:before="120" w:beforeAutospacing="0" w:after="120" w:afterAutospacing="0"/>
        <w:ind w:left="714" w:hanging="357"/>
        <w:rPr>
          <w:rFonts w:cstheme="minorBidi"/>
          <w:color w:val="000000" w:themeColor="text1"/>
        </w:rPr>
      </w:pPr>
      <w:proofErr w:type="spellStart"/>
      <w:r w:rsidRPr="00E3059D">
        <w:rPr>
          <w:rStyle w:val="Emphasis"/>
          <w:rFonts w:cstheme="minorBidi"/>
          <w:b/>
          <w:bCs/>
          <w:color w:val="000000" w:themeColor="text1"/>
        </w:rPr>
        <w:t>Graincorp</w:t>
      </w:r>
      <w:proofErr w:type="spellEnd"/>
      <w:r w:rsidRPr="00E3059D">
        <w:rPr>
          <w:rStyle w:val="Emphasis"/>
          <w:rFonts w:cstheme="minorBidi"/>
          <w:b/>
          <w:bCs/>
          <w:color w:val="000000" w:themeColor="text1"/>
        </w:rPr>
        <w:t xml:space="preserve"> Operations Ltd v Munro</w:t>
      </w:r>
      <w:r w:rsidRPr="00E3059D">
        <w:rPr>
          <w:rStyle w:val="Emphasis"/>
          <w:rFonts w:cstheme="minorBidi"/>
          <w:i w:val="0"/>
          <w:iCs w:val="0"/>
          <w:color w:val="000000" w:themeColor="text1"/>
        </w:rPr>
        <w:t xml:space="preserve"> [2015] NSWSC 227</w:t>
      </w:r>
      <w:r w:rsidR="00E3059D" w:rsidRPr="00E3059D">
        <w:rPr>
          <w:rStyle w:val="Emphasis"/>
          <w:rFonts w:cstheme="minorBidi"/>
          <w:i w:val="0"/>
          <w:iCs w:val="0"/>
          <w:color w:val="000000" w:themeColor="text1"/>
        </w:rPr>
        <w:t xml:space="preserve"> (injunc</w:t>
      </w:r>
      <w:r w:rsidR="00E3059D">
        <w:rPr>
          <w:rStyle w:val="Emphasis"/>
          <w:rFonts w:cstheme="minorBidi"/>
          <w:i w:val="0"/>
          <w:iCs w:val="0"/>
          <w:color w:val="000000" w:themeColor="text1"/>
        </w:rPr>
        <w:t>tive relief)</w:t>
      </w:r>
    </w:p>
    <w:p w14:paraId="3D41ED19" w14:textId="4195A144"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proofErr w:type="spellStart"/>
      <w:r w:rsidRPr="00E3059D">
        <w:rPr>
          <w:rStyle w:val="Hyperlink"/>
          <w:rFonts w:cstheme="minorBidi"/>
          <w:b/>
          <w:bCs/>
          <w:i/>
          <w:color w:val="000000" w:themeColor="text1"/>
          <w:u w:val="none"/>
        </w:rPr>
        <w:t>MacarthurCook</w:t>
      </w:r>
      <w:proofErr w:type="spellEnd"/>
      <w:r w:rsidRPr="00E3059D">
        <w:rPr>
          <w:rStyle w:val="Hyperlink"/>
          <w:rFonts w:cstheme="minorBidi"/>
          <w:b/>
          <w:bCs/>
          <w:i/>
          <w:color w:val="000000" w:themeColor="text1"/>
          <w:u w:val="none"/>
        </w:rPr>
        <w:t xml:space="preserve"> Fund Management Ltd v TFML</w:t>
      </w:r>
      <w:r w:rsidRPr="008D6835">
        <w:rPr>
          <w:rStyle w:val="Hyperlink"/>
          <w:rFonts w:cstheme="minorBidi"/>
          <w:color w:val="000000" w:themeColor="text1"/>
          <w:u w:val="none"/>
        </w:rPr>
        <w:t xml:space="preserve"> (2014) 254 CLR 168</w:t>
      </w:r>
      <w:r w:rsidR="00E3059D">
        <w:rPr>
          <w:rStyle w:val="Hyperlink"/>
          <w:rFonts w:cstheme="minorBidi"/>
          <w:color w:val="000000" w:themeColor="text1"/>
          <w:u w:val="none"/>
        </w:rPr>
        <w:t xml:space="preserve"> </w:t>
      </w:r>
      <w:r w:rsidRPr="008D6835">
        <w:rPr>
          <w:rFonts w:cstheme="minorBidi"/>
          <w:color w:val="000000" w:themeColor="text1"/>
        </w:rPr>
        <w:t>(Corporations law, managed investment schemes)</w:t>
      </w:r>
    </w:p>
    <w:p w14:paraId="2531ABC7" w14:textId="035A72BD"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r w:rsidRPr="00E3059D">
        <w:rPr>
          <w:rStyle w:val="Emphasis"/>
          <w:rFonts w:cstheme="minorBidi"/>
          <w:b/>
          <w:bCs/>
          <w:color w:val="000000" w:themeColor="text1"/>
        </w:rPr>
        <w:t>Plowman v Sisters of St John of God Inc</w:t>
      </w:r>
      <w:r w:rsidRPr="008D6835">
        <w:rPr>
          <w:rStyle w:val="Emphasis"/>
          <w:rFonts w:cstheme="minorBidi"/>
          <w:i w:val="0"/>
          <w:iCs w:val="0"/>
          <w:color w:val="000000" w:themeColor="text1"/>
        </w:rPr>
        <w:t> [2014] NSWSC 33</w:t>
      </w:r>
      <w:r w:rsidRPr="008D6835">
        <w:rPr>
          <w:rFonts w:cstheme="minorBidi"/>
          <w:color w:val="000000" w:themeColor="text1"/>
        </w:rPr>
        <w:t xml:space="preserve"> (professional negligence)</w:t>
      </w:r>
    </w:p>
    <w:p w14:paraId="0A3864A9" w14:textId="663D6392"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r w:rsidRPr="00E3059D">
        <w:rPr>
          <w:rStyle w:val="Emphasis"/>
          <w:rFonts w:cstheme="minorBidi"/>
          <w:b/>
          <w:bCs/>
          <w:color w:val="000000" w:themeColor="text1"/>
        </w:rPr>
        <w:t>Paul v Cooke</w:t>
      </w:r>
      <w:r w:rsidRPr="008D6835">
        <w:rPr>
          <w:rStyle w:val="Emphasis"/>
          <w:rFonts w:cstheme="minorBidi"/>
          <w:i w:val="0"/>
          <w:iCs w:val="0"/>
          <w:color w:val="000000" w:themeColor="text1"/>
        </w:rPr>
        <w:t> [2013] NSWCA 311</w:t>
      </w:r>
      <w:r w:rsidRPr="008D6835">
        <w:rPr>
          <w:rFonts w:cstheme="minorBidi"/>
          <w:color w:val="000000" w:themeColor="text1"/>
        </w:rPr>
        <w:t xml:space="preserve"> (professional negligence)</w:t>
      </w:r>
    </w:p>
    <w:p w14:paraId="307A67FC" w14:textId="7C70DF5F"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r w:rsidRPr="00E3059D">
        <w:rPr>
          <w:rStyle w:val="Emphasis"/>
          <w:rFonts w:cstheme="minorBidi"/>
          <w:b/>
          <w:bCs/>
          <w:color w:val="000000" w:themeColor="text1"/>
        </w:rPr>
        <w:t>Cox v Fellows</w:t>
      </w:r>
      <w:r w:rsidRPr="008D6835">
        <w:rPr>
          <w:rStyle w:val="Emphasis"/>
          <w:rFonts w:cstheme="minorBidi"/>
          <w:i w:val="0"/>
          <w:iCs w:val="0"/>
          <w:color w:val="000000" w:themeColor="text1"/>
        </w:rPr>
        <w:t> [2013] NSWCA 206</w:t>
      </w:r>
      <w:r w:rsidRPr="008D6835">
        <w:rPr>
          <w:rFonts w:cstheme="minorBidi"/>
          <w:color w:val="000000" w:themeColor="text1"/>
        </w:rPr>
        <w:t xml:space="preserve"> (professional negligence)</w:t>
      </w:r>
    </w:p>
    <w:p w14:paraId="62F3F80D" w14:textId="7BD653D3"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lang w:val="fr-FR"/>
        </w:rPr>
      </w:pPr>
      <w:r w:rsidRPr="00E3059D">
        <w:rPr>
          <w:rStyle w:val="Hyperlink"/>
          <w:rFonts w:cstheme="minorBidi"/>
          <w:b/>
          <w:bCs/>
          <w:i/>
          <w:color w:val="000000" w:themeColor="text1"/>
          <w:u w:val="none"/>
          <w:lang w:val="fr-FR"/>
        </w:rPr>
        <w:t>Waller v James</w:t>
      </w:r>
      <w:r w:rsidRPr="008D6835">
        <w:rPr>
          <w:rStyle w:val="Hyperlink"/>
          <w:rFonts w:cstheme="minorBidi"/>
          <w:iCs/>
          <w:color w:val="000000" w:themeColor="text1"/>
          <w:u w:val="none"/>
          <w:lang w:val="fr-FR"/>
        </w:rPr>
        <w:t> </w:t>
      </w:r>
      <w:r w:rsidRPr="008D6835">
        <w:rPr>
          <w:rStyle w:val="Hyperlink"/>
          <w:rFonts w:cstheme="minorBidi"/>
          <w:color w:val="000000" w:themeColor="text1"/>
          <w:u w:val="none"/>
          <w:lang w:val="fr-FR"/>
        </w:rPr>
        <w:t>[2013] NSWSC 497</w:t>
      </w:r>
      <w:r w:rsidRPr="008D6835">
        <w:rPr>
          <w:rFonts w:cstheme="minorBidi"/>
          <w:color w:val="000000" w:themeColor="text1"/>
          <w:lang w:val="fr-FR"/>
        </w:rPr>
        <w:t> (professional negligence)</w:t>
      </w:r>
    </w:p>
    <w:p w14:paraId="447FEBD4" w14:textId="2640A7A9"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r w:rsidRPr="00E3059D">
        <w:rPr>
          <w:rStyle w:val="Emphasis"/>
          <w:rFonts w:cstheme="minorBidi"/>
          <w:b/>
          <w:bCs/>
          <w:color w:val="000000" w:themeColor="text1"/>
        </w:rPr>
        <w:lastRenderedPageBreak/>
        <w:t>Brown v The Attorney General of New South Wales</w:t>
      </w:r>
      <w:r w:rsidRPr="008D6835">
        <w:rPr>
          <w:rStyle w:val="Emphasis"/>
          <w:rFonts w:cstheme="minorBidi"/>
          <w:i w:val="0"/>
          <w:iCs w:val="0"/>
          <w:color w:val="000000" w:themeColor="text1"/>
        </w:rPr>
        <w:t> [2013] NSWSC 271</w:t>
      </w:r>
      <w:r w:rsidRPr="008D6835">
        <w:rPr>
          <w:rFonts w:cstheme="minorBidi"/>
          <w:color w:val="000000" w:themeColor="text1"/>
        </w:rPr>
        <w:t xml:space="preserve"> (Charitable trusts)</w:t>
      </w:r>
    </w:p>
    <w:p w14:paraId="7A870D70" w14:textId="3A18122D"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r w:rsidRPr="00E3059D">
        <w:rPr>
          <w:rStyle w:val="Emphasis"/>
          <w:rFonts w:cstheme="minorBidi"/>
          <w:b/>
          <w:bCs/>
          <w:color w:val="000000" w:themeColor="text1"/>
        </w:rPr>
        <w:t>Deputy Commissioner of Taxation v McGuire</w:t>
      </w:r>
      <w:r w:rsidRPr="008D6835">
        <w:rPr>
          <w:rStyle w:val="Emphasis"/>
          <w:rFonts w:cstheme="minorBidi"/>
          <w:i w:val="0"/>
          <w:iCs w:val="0"/>
          <w:color w:val="000000" w:themeColor="text1"/>
        </w:rPr>
        <w:t> [2013] NSWSC 184</w:t>
      </w:r>
      <w:r w:rsidRPr="008D6835">
        <w:rPr>
          <w:rFonts w:cstheme="minorBidi"/>
          <w:color w:val="000000" w:themeColor="text1"/>
        </w:rPr>
        <w:t xml:space="preserve"> (tax, partnerships)</w:t>
      </w:r>
    </w:p>
    <w:p w14:paraId="2A1B7155" w14:textId="48A8E871"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proofErr w:type="spellStart"/>
      <w:r w:rsidRPr="00E3059D">
        <w:rPr>
          <w:rStyle w:val="Hyperlink"/>
          <w:rFonts w:cstheme="minorBidi"/>
          <w:b/>
          <w:bCs/>
          <w:i/>
          <w:color w:val="000000" w:themeColor="text1"/>
          <w:u w:val="none"/>
        </w:rPr>
        <w:t>Raashed</w:t>
      </w:r>
      <w:proofErr w:type="spellEnd"/>
      <w:r w:rsidRPr="00E3059D">
        <w:rPr>
          <w:rStyle w:val="Hyperlink"/>
          <w:rFonts w:cstheme="minorBidi"/>
          <w:b/>
          <w:bCs/>
          <w:i/>
          <w:color w:val="000000" w:themeColor="text1"/>
          <w:u w:val="none"/>
        </w:rPr>
        <w:t xml:space="preserve"> v Hussain [2012] NSWCA 264</w:t>
      </w:r>
      <w:r w:rsidRPr="008D6835">
        <w:rPr>
          <w:rFonts w:cstheme="minorBidi"/>
          <w:color w:val="000000" w:themeColor="text1"/>
        </w:rPr>
        <w:t xml:space="preserve"> (Contracts Review Act)</w:t>
      </w:r>
    </w:p>
    <w:p w14:paraId="5EAB32CB" w14:textId="16E5A604"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r w:rsidRPr="00E3059D">
        <w:rPr>
          <w:rStyle w:val="Hyperlink"/>
          <w:rFonts w:cstheme="minorBidi"/>
          <w:b/>
          <w:bCs/>
          <w:i/>
          <w:color w:val="000000" w:themeColor="text1"/>
          <w:u w:val="none"/>
        </w:rPr>
        <w:t>McVey v State of New South Wales and ANZ Banking Corporation</w:t>
      </w:r>
      <w:r w:rsidRPr="008D6835">
        <w:rPr>
          <w:rStyle w:val="Hyperlink"/>
          <w:rFonts w:cstheme="minorBidi"/>
          <w:color w:val="000000" w:themeColor="text1"/>
          <w:u w:val="none"/>
        </w:rPr>
        <w:t xml:space="preserve"> [2012] FCA 455</w:t>
      </w:r>
      <w:r w:rsidRPr="008D6835">
        <w:rPr>
          <w:rFonts w:cstheme="minorBidi"/>
          <w:color w:val="000000" w:themeColor="text1"/>
        </w:rPr>
        <w:t xml:space="preserve"> (bankruptcy)</w:t>
      </w:r>
    </w:p>
    <w:p w14:paraId="68C87C2C" w14:textId="38DC7CBD"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r w:rsidRPr="00E3059D">
        <w:rPr>
          <w:rStyle w:val="Hyperlink"/>
          <w:rFonts w:cstheme="minorBidi"/>
          <w:b/>
          <w:bCs/>
          <w:i/>
          <w:color w:val="000000" w:themeColor="text1"/>
          <w:u w:val="none"/>
        </w:rPr>
        <w:t>Paul v Cooke</w:t>
      </w:r>
      <w:r w:rsidRPr="008D6835">
        <w:rPr>
          <w:rStyle w:val="Hyperlink"/>
          <w:rFonts w:cstheme="minorBidi"/>
          <w:color w:val="000000" w:themeColor="text1"/>
          <w:u w:val="none"/>
        </w:rPr>
        <w:t xml:space="preserve"> [2012] NSWSC 840</w:t>
      </w:r>
      <w:r w:rsidRPr="008D6835">
        <w:rPr>
          <w:rFonts w:cstheme="minorBidi"/>
          <w:color w:val="000000" w:themeColor="text1"/>
        </w:rPr>
        <w:t xml:space="preserve"> (</w:t>
      </w:r>
      <w:r w:rsidR="009A7118">
        <w:rPr>
          <w:rFonts w:cstheme="minorBidi"/>
          <w:color w:val="000000" w:themeColor="text1"/>
        </w:rPr>
        <w:t>medical</w:t>
      </w:r>
      <w:r w:rsidRPr="008D6835">
        <w:rPr>
          <w:rFonts w:cstheme="minorBidi"/>
          <w:color w:val="000000" w:themeColor="text1"/>
        </w:rPr>
        <w:t xml:space="preserve"> negligence)</w:t>
      </w:r>
    </w:p>
    <w:p w14:paraId="22B56548" w14:textId="3F7F89DF"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r w:rsidRPr="00E3059D">
        <w:rPr>
          <w:rStyle w:val="Hyperlink"/>
          <w:rFonts w:cstheme="minorBidi"/>
          <w:b/>
          <w:bCs/>
          <w:i/>
          <w:color w:val="000000" w:themeColor="text1"/>
          <w:u w:val="none"/>
        </w:rPr>
        <w:t xml:space="preserve">Parkes </w:t>
      </w:r>
      <w:proofErr w:type="spellStart"/>
      <w:r w:rsidRPr="00E3059D">
        <w:rPr>
          <w:rStyle w:val="Hyperlink"/>
          <w:rFonts w:cstheme="minorBidi"/>
          <w:b/>
          <w:bCs/>
          <w:i/>
          <w:color w:val="000000" w:themeColor="text1"/>
          <w:u w:val="none"/>
        </w:rPr>
        <w:t>Linnegar</w:t>
      </w:r>
      <w:proofErr w:type="spellEnd"/>
      <w:r w:rsidRPr="00E3059D">
        <w:rPr>
          <w:rStyle w:val="Hyperlink"/>
          <w:rFonts w:cstheme="minorBidi"/>
          <w:b/>
          <w:bCs/>
          <w:i/>
          <w:color w:val="000000" w:themeColor="text1"/>
          <w:u w:val="none"/>
        </w:rPr>
        <w:t xml:space="preserve"> v Watson</w:t>
      </w:r>
      <w:r w:rsidRPr="008D6835">
        <w:rPr>
          <w:rStyle w:val="Hyperlink"/>
          <w:rFonts w:cstheme="minorBidi"/>
          <w:color w:val="000000" w:themeColor="text1"/>
          <w:u w:val="none"/>
        </w:rPr>
        <w:t xml:space="preserve"> [2011] NSWSC 37</w:t>
      </w:r>
      <w:r w:rsidRPr="008D6835">
        <w:rPr>
          <w:rFonts w:cstheme="minorBidi"/>
          <w:color w:val="000000" w:themeColor="text1"/>
        </w:rPr>
        <w:t xml:space="preserve"> (trusts/estates)</w:t>
      </w:r>
    </w:p>
    <w:p w14:paraId="782CF805" w14:textId="125FEEF2"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r w:rsidRPr="00E3059D">
        <w:rPr>
          <w:rStyle w:val="Hyperlink"/>
          <w:rFonts w:cstheme="minorBidi"/>
          <w:b/>
          <w:bCs/>
          <w:i/>
          <w:color w:val="000000" w:themeColor="text1"/>
          <w:u w:val="none"/>
        </w:rPr>
        <w:t>Sandhurst Trustees Ltd v RFML Limited</w:t>
      </w:r>
      <w:r w:rsidRPr="008D6835">
        <w:rPr>
          <w:rStyle w:val="Hyperlink"/>
          <w:rFonts w:cstheme="minorBidi"/>
          <w:color w:val="000000" w:themeColor="text1"/>
          <w:u w:val="none"/>
        </w:rPr>
        <w:t xml:space="preserve"> [2011] FCA 726</w:t>
      </w:r>
      <w:r w:rsidRPr="008D6835">
        <w:rPr>
          <w:rFonts w:cstheme="minorBidi"/>
          <w:color w:val="000000" w:themeColor="text1"/>
        </w:rPr>
        <w:t xml:space="preserve"> (s.247A Corporations Act)</w:t>
      </w:r>
    </w:p>
    <w:p w14:paraId="66BDD11B" w14:textId="0DBB325E"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r w:rsidRPr="00E3059D">
        <w:rPr>
          <w:rStyle w:val="Hyperlink"/>
          <w:rFonts w:cstheme="minorBidi"/>
          <w:b/>
          <w:bCs/>
          <w:i/>
          <w:color w:val="000000" w:themeColor="text1"/>
          <w:u w:val="none"/>
        </w:rPr>
        <w:t>Rayner v NJ Sheaffe Pty Ltd</w:t>
      </w:r>
      <w:r w:rsidRPr="008D6835">
        <w:rPr>
          <w:rStyle w:val="Hyperlink"/>
          <w:rFonts w:cstheme="minorBidi"/>
          <w:color w:val="000000" w:themeColor="text1"/>
          <w:u w:val="none"/>
        </w:rPr>
        <w:t xml:space="preserve"> [2010] NSWSC 810</w:t>
      </w:r>
      <w:r w:rsidRPr="008D6835">
        <w:rPr>
          <w:rFonts w:cstheme="minorBidi"/>
          <w:color w:val="000000" w:themeColor="text1"/>
        </w:rPr>
        <w:t xml:space="preserve"> (trusts)</w:t>
      </w:r>
    </w:p>
    <w:p w14:paraId="1B0BDC77" w14:textId="189AC4DB" w:rsidR="00A618CF" w:rsidRPr="008D6835" w:rsidRDefault="008D6835" w:rsidP="008D6835">
      <w:pPr>
        <w:pStyle w:val="NormalWeb"/>
        <w:numPr>
          <w:ilvl w:val="0"/>
          <w:numId w:val="26"/>
        </w:numPr>
        <w:spacing w:before="120" w:beforeAutospacing="0" w:after="120" w:afterAutospacing="0"/>
        <w:ind w:left="714" w:hanging="357"/>
        <w:rPr>
          <w:rFonts w:cstheme="minorBidi"/>
          <w:color w:val="000000" w:themeColor="text1"/>
        </w:rPr>
      </w:pPr>
      <w:r w:rsidRPr="00E3059D">
        <w:rPr>
          <w:rStyle w:val="Hyperlink"/>
          <w:rFonts w:cstheme="minorBidi"/>
          <w:b/>
          <w:bCs/>
          <w:i/>
          <w:color w:val="000000" w:themeColor="text1"/>
          <w:u w:val="none"/>
        </w:rPr>
        <w:t>Waller v Hargraves Secured Investments</w:t>
      </w:r>
      <w:r w:rsidRPr="008D6835">
        <w:rPr>
          <w:rStyle w:val="Hyperlink"/>
          <w:rFonts w:cstheme="minorBidi"/>
          <w:color w:val="000000" w:themeColor="text1"/>
          <w:u w:val="none"/>
        </w:rPr>
        <w:t xml:space="preserve"> [2010] NSWCA 300</w:t>
      </w:r>
      <w:r w:rsidRPr="008D6835">
        <w:rPr>
          <w:rFonts w:cstheme="minorBidi"/>
          <w:color w:val="000000" w:themeColor="text1"/>
        </w:rPr>
        <w:t xml:space="preserve"> (mortgages/Farm Debt Mediation Act)</w:t>
      </w:r>
    </w:p>
    <w:p w14:paraId="2283AEE4" w14:textId="7DAA3EF1" w:rsidR="00A618CF" w:rsidRPr="008D6835" w:rsidRDefault="00A618CF" w:rsidP="009A7118">
      <w:pPr>
        <w:pStyle w:val="NormalWeb"/>
        <w:spacing w:before="120" w:beforeAutospacing="0" w:after="120" w:afterAutospacing="0"/>
        <w:ind w:left="714"/>
        <w:rPr>
          <w:rFonts w:cstheme="minorBidi"/>
          <w:color w:val="000000" w:themeColor="text1"/>
        </w:rPr>
      </w:pPr>
    </w:p>
    <w:sectPr w:rsidR="00A618CF" w:rsidRPr="008D6835" w:rsidSect="00647A3E">
      <w:footerReference w:type="even" r:id="rId7"/>
      <w:footerReference w:type="default" r:id="rId8"/>
      <w:pgSz w:w="11900" w:h="16840"/>
      <w:pgMar w:top="1440"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D8D8" w14:textId="77777777" w:rsidR="003C01CF" w:rsidRDefault="003C01CF" w:rsidP="00CB0375">
      <w:pPr>
        <w:spacing w:before="0" w:after="0" w:line="240" w:lineRule="auto"/>
      </w:pPr>
      <w:r>
        <w:separator/>
      </w:r>
    </w:p>
  </w:endnote>
  <w:endnote w:type="continuationSeparator" w:id="0">
    <w:p w14:paraId="116A957A" w14:textId="77777777" w:rsidR="003C01CF" w:rsidRDefault="003C01CF" w:rsidP="00CB03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2461" w14:textId="77777777" w:rsidR="00A9500A" w:rsidRDefault="00A9500A" w:rsidP="00A950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A4DF0" w14:textId="77777777" w:rsidR="00A9500A" w:rsidRDefault="00A9500A" w:rsidP="00CB03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B9AF" w14:textId="77777777" w:rsidR="00A9500A" w:rsidRDefault="00A9500A" w:rsidP="00A950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3238">
      <w:rPr>
        <w:rStyle w:val="PageNumber"/>
        <w:noProof/>
      </w:rPr>
      <w:t>1</w:t>
    </w:r>
    <w:r>
      <w:rPr>
        <w:rStyle w:val="PageNumber"/>
      </w:rPr>
      <w:fldChar w:fldCharType="end"/>
    </w:r>
  </w:p>
  <w:p w14:paraId="65200F9E" w14:textId="77777777" w:rsidR="00A9500A" w:rsidRDefault="00A9500A" w:rsidP="00CB03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E2BCF" w14:textId="77777777" w:rsidR="003C01CF" w:rsidRDefault="003C01CF" w:rsidP="00CB0375">
      <w:pPr>
        <w:spacing w:before="0" w:after="0" w:line="240" w:lineRule="auto"/>
      </w:pPr>
      <w:r>
        <w:separator/>
      </w:r>
    </w:p>
  </w:footnote>
  <w:footnote w:type="continuationSeparator" w:id="0">
    <w:p w14:paraId="5AB9EEF8" w14:textId="77777777" w:rsidR="003C01CF" w:rsidRDefault="003C01CF" w:rsidP="00CB037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69A"/>
    <w:multiLevelType w:val="hybridMultilevel"/>
    <w:tmpl w:val="8688A8CE"/>
    <w:lvl w:ilvl="0" w:tplc="BADC0F10">
      <w:start w:val="1"/>
      <w:numFmt w:val="lowerLetter"/>
      <w:pStyle w:val="Style9"/>
      <w:lvlText w:val="(%1)"/>
      <w:lvlJc w:val="left"/>
      <w:pPr>
        <w:ind w:left="2545"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176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933AE2"/>
    <w:multiLevelType w:val="hybridMultilevel"/>
    <w:tmpl w:val="451474DE"/>
    <w:lvl w:ilvl="0" w:tplc="40E87C60">
      <w:start w:val="1"/>
      <w:numFmt w:val="decimal"/>
      <w:pStyle w:val="Style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C25AE"/>
    <w:multiLevelType w:val="multilevel"/>
    <w:tmpl w:val="6ACC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C1906"/>
    <w:multiLevelType w:val="hybridMultilevel"/>
    <w:tmpl w:val="34D0756C"/>
    <w:lvl w:ilvl="0" w:tplc="2B26C6FE">
      <w:start w:val="1"/>
      <w:numFmt w:val="decimal"/>
      <w:pStyle w:val="Style6"/>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76C33"/>
    <w:multiLevelType w:val="hybridMultilevel"/>
    <w:tmpl w:val="A1420A60"/>
    <w:lvl w:ilvl="0" w:tplc="40AC5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9720F"/>
    <w:multiLevelType w:val="multilevel"/>
    <w:tmpl w:val="025E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A74E7"/>
    <w:multiLevelType w:val="hybridMultilevel"/>
    <w:tmpl w:val="02BE8E70"/>
    <w:lvl w:ilvl="0" w:tplc="EEF85FA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6D2D98"/>
    <w:multiLevelType w:val="hybridMultilevel"/>
    <w:tmpl w:val="915C20B4"/>
    <w:lvl w:ilvl="0" w:tplc="D09A65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293C79"/>
    <w:multiLevelType w:val="multilevel"/>
    <w:tmpl w:val="D56E7914"/>
    <w:styleLink w:val="111111"/>
    <w:lvl w:ilvl="0">
      <w:start w:val="1"/>
      <w:numFmt w:val="decimal"/>
      <w:lvlText w:val="%1."/>
      <w:lvlJc w:val="left"/>
      <w:pPr>
        <w:tabs>
          <w:tab w:val="num" w:pos="567"/>
        </w:tabs>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F003BFE"/>
    <w:multiLevelType w:val="multilevel"/>
    <w:tmpl w:val="004CBA18"/>
    <w:numStyleLink w:val="a"/>
  </w:abstractNum>
  <w:abstractNum w:abstractNumId="11" w15:restartNumberingAfterBreak="0">
    <w:nsid w:val="5FC72340"/>
    <w:multiLevelType w:val="hybridMultilevel"/>
    <w:tmpl w:val="2F683396"/>
    <w:lvl w:ilvl="0" w:tplc="5C36FE9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5C40DB"/>
    <w:multiLevelType w:val="multilevel"/>
    <w:tmpl w:val="004CBA18"/>
    <w:styleLink w:val="a"/>
    <w:lvl w:ilvl="0">
      <w:start w:val="1"/>
      <w:numFmt w:val="lowerLetter"/>
      <w:pStyle w:val="Style10"/>
      <w:lvlText w:val="(%1)"/>
      <w:lvlJc w:val="left"/>
      <w:pPr>
        <w:tabs>
          <w:tab w:val="num" w:pos="567"/>
        </w:tabs>
        <w:ind w:left="567"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3A30568"/>
    <w:multiLevelType w:val="multilevel"/>
    <w:tmpl w:val="481A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611C65"/>
    <w:multiLevelType w:val="multilevel"/>
    <w:tmpl w:val="25F231E2"/>
    <w:lvl w:ilvl="0">
      <w:start w:val="1"/>
      <w:numFmt w:val="lowerLetter"/>
      <w:pStyle w:val="Style11"/>
      <w:lvlText w:val="(%1)"/>
      <w:lvlJc w:val="left"/>
      <w:pPr>
        <w:tabs>
          <w:tab w:val="num" w:pos="567"/>
        </w:tabs>
        <w:ind w:left="567"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F3729AD"/>
    <w:multiLevelType w:val="multilevel"/>
    <w:tmpl w:val="39BE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215035">
    <w:abstractNumId w:val="8"/>
  </w:num>
  <w:num w:numId="2" w16cid:durableId="678048948">
    <w:abstractNumId w:val="8"/>
  </w:num>
  <w:num w:numId="3" w16cid:durableId="823476344">
    <w:abstractNumId w:val="8"/>
  </w:num>
  <w:num w:numId="4" w16cid:durableId="332952380">
    <w:abstractNumId w:val="8"/>
  </w:num>
  <w:num w:numId="5" w16cid:durableId="1738554624">
    <w:abstractNumId w:val="1"/>
  </w:num>
  <w:num w:numId="6" w16cid:durableId="1652905087">
    <w:abstractNumId w:val="9"/>
  </w:num>
  <w:num w:numId="7" w16cid:durableId="472716502">
    <w:abstractNumId w:val="9"/>
  </w:num>
  <w:num w:numId="8" w16cid:durableId="1708606254">
    <w:abstractNumId w:val="9"/>
  </w:num>
  <w:num w:numId="9" w16cid:durableId="68042280">
    <w:abstractNumId w:val="4"/>
  </w:num>
  <w:num w:numId="10" w16cid:durableId="2144614377">
    <w:abstractNumId w:val="5"/>
  </w:num>
  <w:num w:numId="11" w16cid:durableId="381634493">
    <w:abstractNumId w:val="11"/>
  </w:num>
  <w:num w:numId="12" w16cid:durableId="1903174933">
    <w:abstractNumId w:val="7"/>
  </w:num>
  <w:num w:numId="13" w16cid:durableId="1556817327">
    <w:abstractNumId w:val="0"/>
  </w:num>
  <w:num w:numId="14" w16cid:durableId="1281305897">
    <w:abstractNumId w:val="0"/>
  </w:num>
  <w:num w:numId="15" w16cid:durableId="1002859841">
    <w:abstractNumId w:val="2"/>
  </w:num>
  <w:num w:numId="16" w16cid:durableId="957685952">
    <w:abstractNumId w:val="2"/>
  </w:num>
  <w:num w:numId="17" w16cid:durableId="1314407175">
    <w:abstractNumId w:val="4"/>
  </w:num>
  <w:num w:numId="18" w16cid:durableId="1617173548">
    <w:abstractNumId w:val="12"/>
  </w:num>
  <w:num w:numId="19" w16cid:durableId="700277841">
    <w:abstractNumId w:val="12"/>
  </w:num>
  <w:num w:numId="20" w16cid:durableId="1350184012">
    <w:abstractNumId w:val="10"/>
  </w:num>
  <w:num w:numId="21" w16cid:durableId="1242061601">
    <w:abstractNumId w:val="10"/>
  </w:num>
  <w:num w:numId="22" w16cid:durableId="151794542">
    <w:abstractNumId w:val="14"/>
  </w:num>
  <w:num w:numId="23" w16cid:durableId="913858696">
    <w:abstractNumId w:val="3"/>
  </w:num>
  <w:num w:numId="24" w16cid:durableId="241136569">
    <w:abstractNumId w:val="6"/>
  </w:num>
  <w:num w:numId="25" w16cid:durableId="1946645228">
    <w:abstractNumId w:val="13"/>
  </w:num>
  <w:num w:numId="26" w16cid:durableId="1647104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75"/>
    <w:rsid w:val="00053238"/>
    <w:rsid w:val="00072AFA"/>
    <w:rsid w:val="00082E75"/>
    <w:rsid w:val="000E3EFB"/>
    <w:rsid w:val="00156D6D"/>
    <w:rsid w:val="00181DC9"/>
    <w:rsid w:val="001B0E34"/>
    <w:rsid w:val="001B399E"/>
    <w:rsid w:val="002E6DEF"/>
    <w:rsid w:val="002F7927"/>
    <w:rsid w:val="00331E08"/>
    <w:rsid w:val="003377C8"/>
    <w:rsid w:val="003C01CF"/>
    <w:rsid w:val="003E5A98"/>
    <w:rsid w:val="003E78B2"/>
    <w:rsid w:val="004C7CC2"/>
    <w:rsid w:val="00521258"/>
    <w:rsid w:val="005349DC"/>
    <w:rsid w:val="00562596"/>
    <w:rsid w:val="00564570"/>
    <w:rsid w:val="005C53F6"/>
    <w:rsid w:val="00647A3E"/>
    <w:rsid w:val="006E191B"/>
    <w:rsid w:val="006E2F8E"/>
    <w:rsid w:val="007877F6"/>
    <w:rsid w:val="007B35C7"/>
    <w:rsid w:val="008041D2"/>
    <w:rsid w:val="008148AB"/>
    <w:rsid w:val="00853286"/>
    <w:rsid w:val="008551BD"/>
    <w:rsid w:val="008D6835"/>
    <w:rsid w:val="009761E3"/>
    <w:rsid w:val="00977428"/>
    <w:rsid w:val="009A3AE7"/>
    <w:rsid w:val="009A7118"/>
    <w:rsid w:val="009C1632"/>
    <w:rsid w:val="00A60FFE"/>
    <w:rsid w:val="00A618CF"/>
    <w:rsid w:val="00A67F3C"/>
    <w:rsid w:val="00A9500A"/>
    <w:rsid w:val="00AA5298"/>
    <w:rsid w:val="00B05FA6"/>
    <w:rsid w:val="00C13C0D"/>
    <w:rsid w:val="00C866D8"/>
    <w:rsid w:val="00CB0375"/>
    <w:rsid w:val="00D65A58"/>
    <w:rsid w:val="00DA2E1F"/>
    <w:rsid w:val="00DE286B"/>
    <w:rsid w:val="00E3059D"/>
    <w:rsid w:val="00E712CA"/>
    <w:rsid w:val="00E94A58"/>
    <w:rsid w:val="00EB050D"/>
    <w:rsid w:val="00EF3589"/>
    <w:rsid w:val="00F676CC"/>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455DF8"/>
  <w15:docId w15:val="{9F188E31-9F28-564A-B2EE-E4C8E91C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A3E"/>
    <w:pPr>
      <w:spacing w:before="240" w:after="240" w:line="360" w:lineRule="auto"/>
    </w:pPr>
    <w:rPr>
      <w:rFonts w:ascii="Times New Roman" w:hAnsi="Times New Roman" w:cs="Times New Roman"/>
      <w:szCs w:val="20"/>
      <w:lang w:val="en-AU"/>
    </w:rPr>
  </w:style>
  <w:style w:type="paragraph" w:styleId="Heading2">
    <w:name w:val="heading 2"/>
    <w:basedOn w:val="Normal"/>
    <w:link w:val="Heading2Char"/>
    <w:uiPriority w:val="9"/>
    <w:qFormat/>
    <w:rsid w:val="00CB0375"/>
    <w:pPr>
      <w:spacing w:before="100" w:beforeAutospacing="1" w:after="100" w:afterAutospacing="1" w:line="240" w:lineRule="auto"/>
      <w:outlineLvl w:val="1"/>
    </w:pPr>
    <w:rPr>
      <w:rFonts w:ascii="Times" w:hAnsi="Times" w:cstheme="minorBidi"/>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1"/>
    <w:basedOn w:val="ListParagraph"/>
    <w:autoRedefine/>
    <w:qFormat/>
    <w:rsid w:val="00DE286B"/>
    <w:pPr>
      <w:ind w:left="0"/>
      <w:contextualSpacing w:val="0"/>
    </w:pPr>
  </w:style>
  <w:style w:type="paragraph" w:styleId="ListParagraph">
    <w:name w:val="List Paragraph"/>
    <w:basedOn w:val="Normal"/>
    <w:uiPriority w:val="34"/>
    <w:qFormat/>
    <w:rsid w:val="00DE286B"/>
    <w:pPr>
      <w:ind w:left="720"/>
      <w:contextualSpacing/>
    </w:pPr>
  </w:style>
  <w:style w:type="numbering" w:styleId="111111">
    <w:name w:val="Outline List 2"/>
    <w:basedOn w:val="NoList"/>
    <w:rsid w:val="00DE286B"/>
    <w:pPr>
      <w:numPr>
        <w:numId w:val="6"/>
      </w:numPr>
    </w:pPr>
  </w:style>
  <w:style w:type="paragraph" w:customStyle="1" w:styleId="Style6">
    <w:name w:val="Style6"/>
    <w:basedOn w:val="ListParagraph"/>
    <w:autoRedefine/>
    <w:qFormat/>
    <w:rsid w:val="003E78B2"/>
    <w:pPr>
      <w:numPr>
        <w:numId w:val="17"/>
      </w:numPr>
      <w:contextualSpacing w:val="0"/>
    </w:pPr>
  </w:style>
  <w:style w:type="paragraph" w:customStyle="1" w:styleId="Style2">
    <w:name w:val="Style2"/>
    <w:basedOn w:val="ListParagraph"/>
    <w:qFormat/>
    <w:rsid w:val="003E78B2"/>
    <w:pPr>
      <w:numPr>
        <w:numId w:val="16"/>
      </w:numPr>
    </w:pPr>
    <w:rPr>
      <w:lang w:eastAsia="en-AU"/>
    </w:rPr>
  </w:style>
  <w:style w:type="paragraph" w:customStyle="1" w:styleId="Style4">
    <w:name w:val="Style4"/>
    <w:basedOn w:val="Normal"/>
    <w:qFormat/>
    <w:rsid w:val="001B399E"/>
    <w:pPr>
      <w:ind w:left="1418" w:hanging="567"/>
    </w:pPr>
    <w:rPr>
      <w:szCs w:val="22"/>
    </w:rPr>
  </w:style>
  <w:style w:type="paragraph" w:customStyle="1" w:styleId="Style5">
    <w:name w:val="Style5"/>
    <w:basedOn w:val="Normal"/>
    <w:qFormat/>
    <w:rsid w:val="001B399E"/>
    <w:pPr>
      <w:ind w:left="1985" w:hanging="567"/>
    </w:pPr>
    <w:rPr>
      <w:szCs w:val="22"/>
    </w:rPr>
  </w:style>
  <w:style w:type="paragraph" w:customStyle="1" w:styleId="Style1">
    <w:name w:val="Style1"/>
    <w:basedOn w:val="ListParagraph"/>
    <w:qFormat/>
    <w:rsid w:val="003E78B2"/>
    <w:pPr>
      <w:ind w:left="0"/>
    </w:pPr>
    <w:rPr>
      <w:lang w:eastAsia="en-AU"/>
    </w:rPr>
  </w:style>
  <w:style w:type="paragraph" w:customStyle="1" w:styleId="Style3">
    <w:name w:val="Style3"/>
    <w:basedOn w:val="Normal"/>
    <w:qFormat/>
    <w:rsid w:val="009C1632"/>
    <w:pPr>
      <w:spacing w:after="0"/>
    </w:pPr>
    <w:rPr>
      <w:b/>
    </w:rPr>
  </w:style>
  <w:style w:type="paragraph" w:customStyle="1" w:styleId="Style8">
    <w:name w:val="Style8"/>
    <w:basedOn w:val="Style3"/>
    <w:qFormat/>
    <w:rsid w:val="009C1632"/>
    <w:pPr>
      <w:ind w:left="1985" w:hanging="567"/>
    </w:pPr>
  </w:style>
  <w:style w:type="paragraph" w:customStyle="1" w:styleId="Style9">
    <w:name w:val="Style9"/>
    <w:basedOn w:val="Normal"/>
    <w:qFormat/>
    <w:rsid w:val="009C1632"/>
    <w:pPr>
      <w:numPr>
        <w:numId w:val="14"/>
      </w:numPr>
    </w:pPr>
  </w:style>
  <w:style w:type="paragraph" w:customStyle="1" w:styleId="Style7">
    <w:name w:val="Style7"/>
    <w:basedOn w:val="Style6"/>
    <w:qFormat/>
    <w:rsid w:val="003E78B2"/>
    <w:pPr>
      <w:numPr>
        <w:numId w:val="0"/>
      </w:numPr>
    </w:pPr>
  </w:style>
  <w:style w:type="numbering" w:customStyle="1" w:styleId="a">
    <w:name w:val="(a)"/>
    <w:basedOn w:val="111111"/>
    <w:rsid w:val="00E94A58"/>
    <w:pPr>
      <w:numPr>
        <w:numId w:val="18"/>
      </w:numPr>
    </w:pPr>
  </w:style>
  <w:style w:type="paragraph" w:customStyle="1" w:styleId="style100">
    <w:name w:val="style 10"/>
    <w:basedOn w:val="Normal"/>
    <w:autoRedefine/>
    <w:qFormat/>
    <w:rsid w:val="00E94A58"/>
    <w:pPr>
      <w:spacing w:before="0"/>
      <w:jc w:val="both"/>
    </w:pPr>
    <w:rPr>
      <w:rFonts w:cs="Arial"/>
    </w:rPr>
  </w:style>
  <w:style w:type="paragraph" w:customStyle="1" w:styleId="Style10">
    <w:name w:val="Style10"/>
    <w:basedOn w:val="Normal"/>
    <w:autoRedefine/>
    <w:qFormat/>
    <w:rsid w:val="00E94A58"/>
    <w:pPr>
      <w:numPr>
        <w:numId w:val="21"/>
      </w:numPr>
      <w:spacing w:before="0"/>
      <w:jc w:val="both"/>
    </w:pPr>
    <w:rPr>
      <w:rFonts w:cs="Arial"/>
    </w:rPr>
  </w:style>
  <w:style w:type="paragraph" w:customStyle="1" w:styleId="Style11">
    <w:name w:val="Style11"/>
    <w:basedOn w:val="Normal"/>
    <w:autoRedefine/>
    <w:qFormat/>
    <w:rsid w:val="00E94A58"/>
    <w:pPr>
      <w:numPr>
        <w:numId w:val="22"/>
      </w:numPr>
      <w:spacing w:before="0"/>
      <w:jc w:val="both"/>
    </w:pPr>
    <w:rPr>
      <w:rFonts w:cs="Arial"/>
    </w:rPr>
  </w:style>
  <w:style w:type="character" w:customStyle="1" w:styleId="Heading2Char">
    <w:name w:val="Heading 2 Char"/>
    <w:basedOn w:val="DefaultParagraphFont"/>
    <w:link w:val="Heading2"/>
    <w:uiPriority w:val="9"/>
    <w:rsid w:val="00CB0375"/>
    <w:rPr>
      <w:rFonts w:ascii="Times" w:hAnsi="Times"/>
      <w:b/>
      <w:bCs/>
      <w:sz w:val="36"/>
      <w:szCs w:val="36"/>
      <w:lang w:val="en-AU" w:eastAsia="en-US"/>
    </w:rPr>
  </w:style>
  <w:style w:type="paragraph" w:styleId="NormalWeb">
    <w:name w:val="Normal (Web)"/>
    <w:basedOn w:val="Normal"/>
    <w:uiPriority w:val="99"/>
    <w:unhideWhenUsed/>
    <w:rsid w:val="00CB0375"/>
    <w:pPr>
      <w:spacing w:before="100" w:beforeAutospacing="1" w:after="100" w:afterAutospacing="1" w:line="240" w:lineRule="auto"/>
    </w:pPr>
    <w:rPr>
      <w:rFonts w:ascii="Times" w:hAnsi="Times"/>
      <w:sz w:val="20"/>
      <w:lang w:eastAsia="en-US"/>
    </w:rPr>
  </w:style>
  <w:style w:type="character" w:styleId="Emphasis">
    <w:name w:val="Emphasis"/>
    <w:basedOn w:val="DefaultParagraphFont"/>
    <w:uiPriority w:val="20"/>
    <w:qFormat/>
    <w:rsid w:val="00CB0375"/>
    <w:rPr>
      <w:i/>
      <w:iCs/>
    </w:rPr>
  </w:style>
  <w:style w:type="character" w:styleId="Hyperlink">
    <w:name w:val="Hyperlink"/>
    <w:basedOn w:val="DefaultParagraphFont"/>
    <w:uiPriority w:val="99"/>
    <w:semiHidden/>
    <w:unhideWhenUsed/>
    <w:rsid w:val="00CB0375"/>
    <w:rPr>
      <w:color w:val="0000FF"/>
      <w:u w:val="single"/>
    </w:rPr>
  </w:style>
  <w:style w:type="paragraph" w:styleId="Footer">
    <w:name w:val="footer"/>
    <w:basedOn w:val="Normal"/>
    <w:link w:val="FooterChar"/>
    <w:uiPriority w:val="99"/>
    <w:unhideWhenUsed/>
    <w:rsid w:val="00CB0375"/>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CB0375"/>
    <w:rPr>
      <w:rFonts w:ascii="Times New Roman" w:hAnsi="Times New Roman" w:cs="Times New Roman"/>
      <w:szCs w:val="20"/>
      <w:lang w:val="en-AU"/>
    </w:rPr>
  </w:style>
  <w:style w:type="character" w:styleId="PageNumber">
    <w:name w:val="page number"/>
    <w:basedOn w:val="DefaultParagraphFont"/>
    <w:uiPriority w:val="99"/>
    <w:semiHidden/>
    <w:unhideWhenUsed/>
    <w:rsid w:val="00CB0375"/>
  </w:style>
  <w:style w:type="character" w:customStyle="1" w:styleId="ssl2">
    <w:name w:val="ss_l2"/>
    <w:basedOn w:val="DefaultParagraphFont"/>
    <w:rsid w:val="00A9500A"/>
  </w:style>
  <w:style w:type="character" w:customStyle="1" w:styleId="showdefault">
    <w:name w:val="showdefault"/>
    <w:basedOn w:val="DefaultParagraphFont"/>
    <w:rsid w:val="00A6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21783">
      <w:bodyDiv w:val="1"/>
      <w:marLeft w:val="0"/>
      <w:marRight w:val="0"/>
      <w:marTop w:val="0"/>
      <w:marBottom w:val="0"/>
      <w:divBdr>
        <w:top w:val="none" w:sz="0" w:space="0" w:color="auto"/>
        <w:left w:val="none" w:sz="0" w:space="0" w:color="auto"/>
        <w:bottom w:val="none" w:sz="0" w:space="0" w:color="auto"/>
        <w:right w:val="none" w:sz="0" w:space="0" w:color="auto"/>
      </w:divBdr>
      <w:divsChild>
        <w:div w:id="1302153475">
          <w:marLeft w:val="0"/>
          <w:marRight w:val="0"/>
          <w:marTop w:val="0"/>
          <w:marBottom w:val="0"/>
          <w:divBdr>
            <w:top w:val="none" w:sz="0" w:space="0" w:color="auto"/>
            <w:left w:val="none" w:sz="0" w:space="0" w:color="auto"/>
            <w:bottom w:val="none" w:sz="0" w:space="0" w:color="auto"/>
            <w:right w:val="none" w:sz="0" w:space="0" w:color="auto"/>
          </w:divBdr>
        </w:div>
      </w:divsChild>
    </w:div>
    <w:div w:id="417755079">
      <w:bodyDiv w:val="1"/>
      <w:marLeft w:val="0"/>
      <w:marRight w:val="0"/>
      <w:marTop w:val="0"/>
      <w:marBottom w:val="0"/>
      <w:divBdr>
        <w:top w:val="none" w:sz="0" w:space="0" w:color="auto"/>
        <w:left w:val="none" w:sz="0" w:space="0" w:color="auto"/>
        <w:bottom w:val="none" w:sz="0" w:space="0" w:color="auto"/>
        <w:right w:val="none" w:sz="0" w:space="0" w:color="auto"/>
      </w:divBdr>
      <w:divsChild>
        <w:div w:id="1633974117">
          <w:marLeft w:val="0"/>
          <w:marRight w:val="0"/>
          <w:marTop w:val="0"/>
          <w:marBottom w:val="0"/>
          <w:divBdr>
            <w:top w:val="none" w:sz="0" w:space="0" w:color="auto"/>
            <w:left w:val="none" w:sz="0" w:space="0" w:color="auto"/>
            <w:bottom w:val="none" w:sz="0" w:space="0" w:color="auto"/>
            <w:right w:val="none" w:sz="0" w:space="0" w:color="auto"/>
          </w:divBdr>
        </w:div>
      </w:divsChild>
    </w:div>
    <w:div w:id="854150087">
      <w:bodyDiv w:val="1"/>
      <w:marLeft w:val="0"/>
      <w:marRight w:val="0"/>
      <w:marTop w:val="0"/>
      <w:marBottom w:val="0"/>
      <w:divBdr>
        <w:top w:val="none" w:sz="0" w:space="0" w:color="auto"/>
        <w:left w:val="none" w:sz="0" w:space="0" w:color="auto"/>
        <w:bottom w:val="none" w:sz="0" w:space="0" w:color="auto"/>
        <w:right w:val="none" w:sz="0" w:space="0" w:color="auto"/>
      </w:divBdr>
      <w:divsChild>
        <w:div w:id="1753350302">
          <w:marLeft w:val="0"/>
          <w:marRight w:val="0"/>
          <w:marTop w:val="0"/>
          <w:marBottom w:val="0"/>
          <w:divBdr>
            <w:top w:val="none" w:sz="0" w:space="0" w:color="auto"/>
            <w:left w:val="none" w:sz="0" w:space="0" w:color="auto"/>
            <w:bottom w:val="none" w:sz="0" w:space="0" w:color="auto"/>
            <w:right w:val="none" w:sz="0" w:space="0" w:color="auto"/>
          </w:divBdr>
          <w:divsChild>
            <w:div w:id="2075858965">
              <w:marLeft w:val="0"/>
              <w:marRight w:val="0"/>
              <w:marTop w:val="0"/>
              <w:marBottom w:val="0"/>
              <w:divBdr>
                <w:top w:val="none" w:sz="0" w:space="0" w:color="auto"/>
                <w:left w:val="none" w:sz="0" w:space="0" w:color="auto"/>
                <w:bottom w:val="none" w:sz="0" w:space="0" w:color="auto"/>
                <w:right w:val="none" w:sz="0" w:space="0" w:color="auto"/>
              </w:divBdr>
              <w:divsChild>
                <w:div w:id="1279869076">
                  <w:marLeft w:val="0"/>
                  <w:marRight w:val="0"/>
                  <w:marTop w:val="0"/>
                  <w:marBottom w:val="0"/>
                  <w:divBdr>
                    <w:top w:val="none" w:sz="0" w:space="0" w:color="auto"/>
                    <w:left w:val="none" w:sz="0" w:space="0" w:color="auto"/>
                    <w:bottom w:val="none" w:sz="0" w:space="0" w:color="auto"/>
                    <w:right w:val="none" w:sz="0" w:space="0" w:color="auto"/>
                  </w:divBdr>
                  <w:divsChild>
                    <w:div w:id="1678343402">
                      <w:marLeft w:val="0"/>
                      <w:marRight w:val="0"/>
                      <w:marTop w:val="0"/>
                      <w:marBottom w:val="0"/>
                      <w:divBdr>
                        <w:top w:val="none" w:sz="0" w:space="0" w:color="auto"/>
                        <w:left w:val="none" w:sz="0" w:space="0" w:color="auto"/>
                        <w:bottom w:val="none" w:sz="0" w:space="0" w:color="auto"/>
                        <w:right w:val="none" w:sz="0" w:space="0" w:color="auto"/>
                      </w:divBdr>
                      <w:divsChild>
                        <w:div w:id="5137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592840">
      <w:bodyDiv w:val="1"/>
      <w:marLeft w:val="0"/>
      <w:marRight w:val="0"/>
      <w:marTop w:val="0"/>
      <w:marBottom w:val="0"/>
      <w:divBdr>
        <w:top w:val="none" w:sz="0" w:space="0" w:color="auto"/>
        <w:left w:val="none" w:sz="0" w:space="0" w:color="auto"/>
        <w:bottom w:val="none" w:sz="0" w:space="0" w:color="auto"/>
        <w:right w:val="none" w:sz="0" w:space="0" w:color="auto"/>
      </w:divBdr>
    </w:div>
    <w:div w:id="1308122300">
      <w:bodyDiv w:val="1"/>
      <w:marLeft w:val="0"/>
      <w:marRight w:val="0"/>
      <w:marTop w:val="0"/>
      <w:marBottom w:val="0"/>
      <w:divBdr>
        <w:top w:val="none" w:sz="0" w:space="0" w:color="auto"/>
        <w:left w:val="none" w:sz="0" w:space="0" w:color="auto"/>
        <w:bottom w:val="none" w:sz="0" w:space="0" w:color="auto"/>
        <w:right w:val="none" w:sz="0" w:space="0" w:color="auto"/>
      </w:divBdr>
      <w:divsChild>
        <w:div w:id="236406954">
          <w:marLeft w:val="0"/>
          <w:marRight w:val="0"/>
          <w:marTop w:val="0"/>
          <w:marBottom w:val="0"/>
          <w:divBdr>
            <w:top w:val="none" w:sz="0" w:space="0" w:color="auto"/>
            <w:left w:val="none" w:sz="0" w:space="0" w:color="auto"/>
            <w:bottom w:val="none" w:sz="0" w:space="0" w:color="auto"/>
            <w:right w:val="none" w:sz="0" w:space="0" w:color="auto"/>
          </w:divBdr>
        </w:div>
      </w:divsChild>
    </w:div>
    <w:div w:id="1754165045">
      <w:bodyDiv w:val="1"/>
      <w:marLeft w:val="0"/>
      <w:marRight w:val="0"/>
      <w:marTop w:val="0"/>
      <w:marBottom w:val="0"/>
      <w:divBdr>
        <w:top w:val="none" w:sz="0" w:space="0" w:color="auto"/>
        <w:left w:val="none" w:sz="0" w:space="0" w:color="auto"/>
        <w:bottom w:val="none" w:sz="0" w:space="0" w:color="auto"/>
        <w:right w:val="none" w:sz="0" w:space="0" w:color="auto"/>
      </w:divBdr>
      <w:divsChild>
        <w:div w:id="1063021120">
          <w:marLeft w:val="0"/>
          <w:marRight w:val="0"/>
          <w:marTop w:val="0"/>
          <w:marBottom w:val="0"/>
          <w:divBdr>
            <w:top w:val="none" w:sz="0" w:space="0" w:color="auto"/>
            <w:left w:val="none" w:sz="0" w:space="0" w:color="auto"/>
            <w:bottom w:val="none" w:sz="0" w:space="0" w:color="auto"/>
            <w:right w:val="none" w:sz="0" w:space="0" w:color="auto"/>
          </w:divBdr>
          <w:divsChild>
            <w:div w:id="1067805268">
              <w:marLeft w:val="0"/>
              <w:marRight w:val="0"/>
              <w:marTop w:val="0"/>
              <w:marBottom w:val="0"/>
              <w:divBdr>
                <w:top w:val="none" w:sz="0" w:space="0" w:color="auto"/>
                <w:left w:val="none" w:sz="0" w:space="0" w:color="auto"/>
                <w:bottom w:val="none" w:sz="0" w:space="0" w:color="auto"/>
                <w:right w:val="none" w:sz="0" w:space="0" w:color="auto"/>
              </w:divBdr>
              <w:divsChild>
                <w:div w:id="580214105">
                  <w:marLeft w:val="0"/>
                  <w:marRight w:val="0"/>
                  <w:marTop w:val="0"/>
                  <w:marBottom w:val="0"/>
                  <w:divBdr>
                    <w:top w:val="none" w:sz="0" w:space="0" w:color="auto"/>
                    <w:left w:val="none" w:sz="0" w:space="0" w:color="auto"/>
                    <w:bottom w:val="none" w:sz="0" w:space="0" w:color="auto"/>
                    <w:right w:val="none" w:sz="0" w:space="0" w:color="auto"/>
                  </w:divBdr>
                  <w:divsChild>
                    <w:div w:id="1780249409">
                      <w:marLeft w:val="0"/>
                      <w:marRight w:val="0"/>
                      <w:marTop w:val="0"/>
                      <w:marBottom w:val="0"/>
                      <w:divBdr>
                        <w:top w:val="none" w:sz="0" w:space="0" w:color="auto"/>
                        <w:left w:val="none" w:sz="0" w:space="0" w:color="auto"/>
                        <w:bottom w:val="none" w:sz="0" w:space="0" w:color="auto"/>
                        <w:right w:val="none" w:sz="0" w:space="0" w:color="auto"/>
                      </w:divBdr>
                      <w:divsChild>
                        <w:div w:id="10075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99598">
          <w:marLeft w:val="0"/>
          <w:marRight w:val="0"/>
          <w:marTop w:val="0"/>
          <w:marBottom w:val="0"/>
          <w:divBdr>
            <w:top w:val="none" w:sz="0" w:space="0" w:color="auto"/>
            <w:left w:val="none" w:sz="0" w:space="0" w:color="auto"/>
            <w:bottom w:val="none" w:sz="0" w:space="0" w:color="auto"/>
            <w:right w:val="none" w:sz="0" w:space="0" w:color="auto"/>
          </w:divBdr>
          <w:divsChild>
            <w:div w:id="776406652">
              <w:marLeft w:val="0"/>
              <w:marRight w:val="0"/>
              <w:marTop w:val="0"/>
              <w:marBottom w:val="0"/>
              <w:divBdr>
                <w:top w:val="none" w:sz="0" w:space="0" w:color="auto"/>
                <w:left w:val="none" w:sz="0" w:space="0" w:color="auto"/>
                <w:bottom w:val="none" w:sz="0" w:space="0" w:color="auto"/>
                <w:right w:val="none" w:sz="0" w:space="0" w:color="auto"/>
              </w:divBdr>
              <w:divsChild>
                <w:div w:id="8087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Thomas</dc:creator>
  <cp:keywords/>
  <dc:description/>
  <cp:lastModifiedBy>James Thomas</cp:lastModifiedBy>
  <cp:revision>2</cp:revision>
  <cp:lastPrinted>2023-04-03T22:31:00Z</cp:lastPrinted>
  <dcterms:created xsi:type="dcterms:W3CDTF">2026-04-16T07:14:00Z</dcterms:created>
  <dcterms:modified xsi:type="dcterms:W3CDTF">2026-04-16T07:14:00Z</dcterms:modified>
</cp:coreProperties>
</file>